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ascii="仿宋" w:hAnsi="仿宋" w:eastAsia="仿宋"/>
          <w:color w:val="auto"/>
          <w:sz w:val="44"/>
          <w:szCs w:val="44"/>
          <w:highlight w:val="none"/>
          <w:lang w:eastAsia="zh-CN"/>
        </w:rPr>
      </w:pPr>
    </w:p>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成绵苍巴公司2024 年视频拍摄服务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bookmarkStart w:id="5" w:name="_GoBack"/>
      <w:bookmarkStart w:id="0" w:name="_Toc7105"/>
      <w:r>
        <w:rPr>
          <w:rFonts w:hint="eastAsia" w:ascii="仿宋" w:hAnsi="仿宋" w:eastAsia="仿宋"/>
          <w:color w:val="auto"/>
          <w:sz w:val="56"/>
          <w:szCs w:val="84"/>
          <w:highlight w:val="none"/>
        </w:rPr>
        <w:t>比选申请文件</w:t>
      </w:r>
      <w:bookmarkEnd w:id="0"/>
    </w:p>
    <w:bookmarkEnd w:id="5"/>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成绵苍巴公司2024 年视频拍摄服务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成绵苍巴公司2024 年视频拍摄服务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满足合同要求</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z w:val="24"/>
          <w:highlight w:val="none"/>
          <w:u w:val="single"/>
          <w:lang w:eastAsia="zh-CN"/>
        </w:rPr>
        <w:t>，并通过甲方验收</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7"/>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7"/>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7"/>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46114"/>
    <w:rsid w:val="2A393E09"/>
    <w:rsid w:val="2D234582"/>
    <w:rsid w:val="4CEC3061"/>
    <w:rsid w:val="62C4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2024-06-18T06:01:00Z</dcterms:created>
  <dc:creator>mid</dc:creator>
  <cp:lastModifiedBy>mid</cp:lastModifiedBy>
  <dcterms:modified xsi:type="dcterms:W3CDTF">2024-06-18T06:02:19Z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4439E758F9B24DE39679D5C8BED88F7E</vt:lpwstr>
  </property>
</Properties>
</file>