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4"/>
          <w:szCs w:val="44"/>
          <w:highlight w:val="none"/>
          <w:lang w:eastAsia="zh-CN"/>
        </w:rPr>
      </w:pPr>
    </w:p>
    <w:p>
      <w:pPr>
        <w:jc w:val="center"/>
        <w:rPr>
          <w:rFonts w:hint="eastAsia" w:ascii="仿宋" w:hAnsi="仿宋" w:eastAsia="仿宋"/>
          <w:color w:val="auto"/>
          <w:sz w:val="44"/>
          <w:szCs w:val="44"/>
          <w:highlight w:val="none"/>
          <w:lang w:eastAsia="zh-CN"/>
        </w:rPr>
      </w:pPr>
    </w:p>
    <w:p>
      <w:pPr>
        <w:jc w:val="center"/>
        <w:rPr>
          <w:rFonts w:hint="eastAsia" w:ascii="仿宋" w:hAnsi="仿宋" w:eastAsia="仿宋"/>
          <w:color w:val="auto"/>
          <w:sz w:val="44"/>
          <w:szCs w:val="44"/>
          <w:highlight w:val="none"/>
          <w:lang w:eastAsia="zh-CN"/>
        </w:rPr>
      </w:pPr>
    </w:p>
    <w:p>
      <w:pPr>
        <w:jc w:val="center"/>
        <w:rPr>
          <w:rFonts w:hint="eastAsia" w:ascii="仿宋" w:hAnsi="仿宋" w:eastAsia="仿宋"/>
          <w:color w:val="auto"/>
          <w:sz w:val="44"/>
          <w:szCs w:val="44"/>
          <w:highlight w:val="none"/>
          <w:lang w:eastAsia="zh-CN"/>
        </w:rPr>
      </w:pPr>
      <w:r>
        <w:rPr>
          <w:rFonts w:hint="eastAsia" w:ascii="仿宋" w:hAnsi="仿宋" w:eastAsia="仿宋"/>
          <w:color w:val="auto"/>
          <w:sz w:val="44"/>
          <w:szCs w:val="44"/>
          <w:highlight w:val="none"/>
          <w:lang w:eastAsia="zh-CN"/>
        </w:rPr>
        <w:t>川高公司纪检谈话室标准化改造装修项目</w:t>
      </w:r>
    </w:p>
    <w:p>
      <w:pPr>
        <w:jc w:val="center"/>
        <w:rPr>
          <w:rFonts w:hint="eastAsia"/>
          <w:color w:val="auto"/>
          <w:highlight w:val="none"/>
        </w:rPr>
      </w:pPr>
      <w:r>
        <w:rPr>
          <w:rFonts w:hint="eastAsia" w:ascii="仿宋" w:hAnsi="仿宋" w:eastAsia="仿宋"/>
          <w:color w:val="auto"/>
          <w:sz w:val="44"/>
          <w:szCs w:val="44"/>
          <w:highlight w:val="none"/>
          <w:lang w:eastAsia="zh-CN"/>
        </w:rPr>
        <w:t>材料及设备采购</w:t>
      </w: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bookmarkStart w:id="2" w:name="_GoBack"/>
      <w:r>
        <w:rPr>
          <w:rFonts w:hint="eastAsia" w:ascii="仿宋" w:hAnsi="仿宋" w:eastAsia="仿宋"/>
          <w:color w:val="auto"/>
          <w:sz w:val="56"/>
          <w:szCs w:val="84"/>
          <w:highlight w:val="none"/>
        </w:rPr>
        <w:t>比选申请文件</w:t>
      </w:r>
    </w:p>
    <w:bookmarkEnd w:id="2"/>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川高公司纪检谈话室标准化改造装修项目材料及设备采购</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川高公司纪检谈话室标准化改造装修项目材料及设备采购</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施工工期+缺陷责任期</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满足合同要求，供应的材料必须满足国家强制规定；清单中未明确规格型号的材料，以甲方现场下发的委托单为准</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pPr>
        <w:tabs>
          <w:tab w:val="left" w:pos="1500"/>
        </w:tabs>
        <w:spacing w:line="360" w:lineRule="auto"/>
        <w:jc w:val="both"/>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tbl>
      <w:tblPr>
        <w:tblStyle w:val="5"/>
        <w:tblW w:w="14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3"/>
        <w:gridCol w:w="4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53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38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川高公司纪检谈话室标准化改造装修项目材料供应单位</w:t>
            </w:r>
          </w:p>
        </w:tc>
        <w:tc>
          <w:tcPr>
            <w:tcW w:w="4845"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共1页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14535" w:type="dxa"/>
            <w:gridSpan w:val="3"/>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1.工程概况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建设规模：本项目位于成都市四川高速大厦2楼，建筑面积69.53平方米，使用性质为纪检谈话室。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计划工期：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施工现场实际情况：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自然地理条件：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环境保护要求：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3.工程量清单编制依据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4.工程质量、材料、施工等的特殊要求：满足设计及规范要求。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5.其他需要说明的问题：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不含税材料价格包含材料原价、运杂费、运输损耗费、采购及保管费、检验试验费、材料包装费，货到现场的卸货费以及正常范围内的损耗。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投标人投标报价不得超过招标控制价，且每单项工程量清单不含税综合单价不得超过招标控制价中的对应单价，否则做废标处理。</w:t>
            </w:r>
          </w:p>
        </w:tc>
      </w:tr>
    </w:tbl>
    <w:p>
      <w:r>
        <w:br w:type="page"/>
      </w:r>
    </w:p>
    <w:tbl>
      <w:tblPr>
        <w:tblStyle w:val="5"/>
        <w:tblW w:w="13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0"/>
        <w:gridCol w:w="4327"/>
        <w:gridCol w:w="2758"/>
        <w:gridCol w:w="2244"/>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374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建设项目比选申请报价汇总表（材料）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20"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1820"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川高公司纪检谈话室标准化改造装修项目材料供应单位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单项工程名称 </w:t>
            </w:r>
          </w:p>
        </w:tc>
        <w:tc>
          <w:tcPr>
            <w:tcW w:w="74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3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不含税主材费（元）</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税金（元）</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单项工程1</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建筑与装饰工程</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安装工程</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弱电工程</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2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br w:type="page"/>
      </w:r>
    </w:p>
    <w:tbl>
      <w:tblPr>
        <w:tblStyle w:val="5"/>
        <w:tblW w:w="13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
        <w:gridCol w:w="308"/>
        <w:gridCol w:w="3456"/>
        <w:gridCol w:w="987"/>
        <w:gridCol w:w="4137"/>
        <w:gridCol w:w="1103"/>
        <w:gridCol w:w="1216"/>
        <w:gridCol w:w="1214"/>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2" w:hRule="atLeast"/>
        </w:trPr>
        <w:tc>
          <w:tcPr>
            <w:tcW w:w="13940" w:type="dxa"/>
            <w:gridSpan w:val="9"/>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建筑与装饰工程材料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648" w:type="dxa"/>
            <w:gridSpan w:val="2"/>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9666"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川高公司纪检谈话室标准化改造装修项目材料供应单位【建筑与装饰工程】</w:t>
            </w:r>
          </w:p>
        </w:tc>
        <w:tc>
          <w:tcPr>
            <w:tcW w:w="1210" w:type="dxa"/>
            <w:tcBorders>
              <w:top w:val="nil"/>
              <w:left w:val="nil"/>
              <w:bottom w:val="nil"/>
              <w:right w:val="nil"/>
            </w:tcBorders>
            <w:noWrap w:val="0"/>
            <w:vAlign w:val="bottom"/>
          </w:tcPr>
          <w:p>
            <w:pPr>
              <w:jc w:val="left"/>
              <w:rPr>
                <w:rFonts w:hint="eastAsia" w:ascii="宋体" w:hAnsi="宋体" w:eastAsia="宋体" w:cs="宋体"/>
                <w:i w:val="0"/>
                <w:iCs w:val="0"/>
                <w:color w:val="000000"/>
                <w:sz w:val="20"/>
                <w:szCs w:val="20"/>
                <w:u w:val="none"/>
              </w:rPr>
            </w:pPr>
          </w:p>
        </w:tc>
        <w:tc>
          <w:tcPr>
            <w:tcW w:w="2416" w:type="dxa"/>
            <w:gridSpan w:val="2"/>
            <w:tcBorders>
              <w:top w:val="nil"/>
              <w:left w:val="nil"/>
              <w:bottom w:val="nil"/>
              <w:right w:val="nil"/>
            </w:tcBorders>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聚乙烯棉防撞面板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专用聚乙烯棉防撞墙板</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阻燃木工板 15mm</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15mm厚阻燃板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601.778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软包钢制防撞隔音门</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成品钢制软包防撞隔音门(含拉手五金；电磁锁另计) </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办案人员靠椅</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按甲方要求</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专用防撞地胶地板(4.5mm厚)</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专用防撞地胶地板(4.5mm厚)</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成品过道内嵌储物柜</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办案人员桌子</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生态木吸音板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生态木吸音板，详设计施工图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38.952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岩棉100kg/m3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187.74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成品硅胶踢脚线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103.95</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谈话对象桌子</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成品装饰造型围挡</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75×50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327.204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谈话对象靠椅</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装配式U形轻钢龙骨</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9.5mm厚纸面石膏板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75×40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191.316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LOW-E镀膜10mm钢化玻璃</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成品内嵌手纸盒</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成品铝合金踢角线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27.51</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成品硅胶中线收口条</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66.546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600*600矿棉板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19.215</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成品硅胶门套线条</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 3mm</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干混地面砂浆M20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成品硅胶阳角收口线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 耐水性 (Y)</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426.25</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9.5mm纸面石膏板</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装配式T形铝合金龙骨</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18.666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自流平面漆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24.313</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定制铝合金推拉窗（含电动百叶）</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不锈钢合页</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硅橡胶门把手</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自流平底漆</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耐候胶 304ml/支</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结构胶 304ml/支</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20.549</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bl>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br w:type="page"/>
      </w:r>
    </w:p>
    <w:tbl>
      <w:tblPr>
        <w:tblStyle w:val="5"/>
        <w:tblW w:w="143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
        <w:gridCol w:w="1663"/>
        <w:gridCol w:w="1970"/>
        <w:gridCol w:w="851"/>
        <w:gridCol w:w="5137"/>
        <w:gridCol w:w="1025"/>
        <w:gridCol w:w="1152"/>
        <w:gridCol w:w="1151"/>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4317" w:type="dxa"/>
            <w:gridSpan w:val="9"/>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安装工程材料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85" w:type="dxa"/>
            <w:gridSpan w:val="2"/>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8983"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川高公司纪检谈话室标准化改造装修项目材料供应单位【安装工程】</w:t>
            </w:r>
          </w:p>
        </w:tc>
        <w:tc>
          <w:tcPr>
            <w:tcW w:w="1152" w:type="dxa"/>
            <w:tcBorders>
              <w:top w:val="nil"/>
              <w:left w:val="nil"/>
              <w:bottom w:val="nil"/>
              <w:right w:val="nil"/>
            </w:tcBorders>
            <w:noWrap w:val="0"/>
            <w:vAlign w:val="bottom"/>
          </w:tcPr>
          <w:p>
            <w:pPr>
              <w:jc w:val="left"/>
              <w:rPr>
                <w:rFonts w:hint="eastAsia" w:ascii="宋体" w:hAnsi="宋体" w:eastAsia="宋体" w:cs="宋体"/>
                <w:i w:val="0"/>
                <w:iCs w:val="0"/>
                <w:color w:val="000000"/>
                <w:sz w:val="20"/>
                <w:szCs w:val="20"/>
                <w:u w:val="none"/>
              </w:rPr>
            </w:pPr>
          </w:p>
        </w:tc>
        <w:tc>
          <w:tcPr>
            <w:tcW w:w="2297" w:type="dxa"/>
            <w:gridSpan w:val="2"/>
            <w:tcBorders>
              <w:top w:val="nil"/>
              <w:left w:val="nil"/>
              <w:bottom w:val="nil"/>
              <w:right w:val="nil"/>
            </w:tcBorders>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静音换气扇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1.名称:静音换气扇</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成套办案用房综合控制箱</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1.名称、型号：含3KW成套谈话用房配电箱ALsg(含无端子外部接线、含箱内所有电气元件)、水、暖通等所有控制箱体</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2.规格型号:250V 10A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3.安装形式:嵌墙安装，安装高度综合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JDG管 20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2.材质：碳钢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3.规格：JDG20mm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4.配置形式及部位： 砖、混凝土结构明暗配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WDZ-BV-2.5mm2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1.配线形式：综合穿线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2.导线型号、材质、规格：WDZ-BV-2.5mm2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3.敷设部位或线制：桥架及管道敷设综合考虑，含双色线等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981.36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WDZ-BV-4mm2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1.配线形式：综合穿线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2.导线型号、材质、规格：WDZ-BV-4mm2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3.敷设部位或线制：桥架及管道敷设综合考虑，含双色线等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钢制接线盒</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1.名称：接线盒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2.材质：钢质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3.规格：综合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4.安装形式：投标人根据现场实际情况综合考虑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300*300mmLED平板灯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1.名称：300*300mmLED平板灯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2.规格：18W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3.安装形式：吸顶式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300*600mmLED平板灯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1.名称：300*600mmLED平板灯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2.规格：18W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3.安装形式：吸顶式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成套紫外线杀菌灯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 紫外线杀菌灯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2.型号、规格：2*36W</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DN110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1.安装部位：综合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2.材质、规格：UPVC,DN110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3.连接形式：粘接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4.配套管件包含在综合单价之中，投标人综合考虑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室内塑料排水管粘接管件 DN110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1.安装部位：综合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2.材质、规格：UPVC,DN110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3.连接形式：粘接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4.配套管件包含在综合单价之中，投标人综合考虑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1.安装部位：综合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2.材质、规格：UPVC,DN50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3.连接形式：粘接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4.配套管件包含在综合单价之中，投标人综合考虑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71.417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室内塑料排水管粘接管件 DN50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1.安装部位：综合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2.材质、规格：UPVC,DN50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3.连接形式：粘接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4.配套管件包含在综合单价之中，投标人综合考虑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给水管PPR DN25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1.安装部位：室内（含管道井）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2.介质：给水-冷热水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3.材质、规格：PPR塑料管DN25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4.连接形式：热熔连接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5.含压力测试、冲洗、消毒、支架、伸缩节、检查口及各类管件、透气帽、管帽、支架制作安装等综合考虑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28.448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给水管PPR DN25管件</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1.安装部位：室内（含管道井）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2.介质：给水-冷热水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3.材质、规格：PPR塑料管DN25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4.连接形式：热熔连接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5.含压力测试、冲洗、消毒、支架、伸缩节、检查口及各类管件、透气帽、管帽、支架制作安装等综合考虑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6.满足其它设计要求及施工验收规范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 ppr-DN32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1.材质：ppr-32 截止阀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2.规格、压力等级：给水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3.连接形式：电熔</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成套PU防撞感应冷热洗手台柜</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1.类型：成套PU防撞感应冷热洗手台柜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2.其他要求：满足设计、相关图集、标准及技术要求</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PU防撞墙排座便器</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1.类型：成套PU防撞墙排座便器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2.其他要求：满足设计、相关图集、标准及技术要求</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防眩装饰筒灯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1.名称：防眩装饰筒灯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2.安装形式：嵌入式</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机房专用空调（包含风口、风管、铜管等所有）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1.名称：机房专用空调（包含风口、风管、铜管等所有）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2.型号：按设计要求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3.安装形式：天棚内暗装</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谈话室空调风管机（包含风口、风管、铜管等所有）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1.名称：谈话室空调风管机（包含风口、风管、铜管等所有）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2.型号：按设计要求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3.安装形式：天棚内暗装</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监控室空调分管机（包含风口、风管、铜管等所有）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1.名称：机房专用空调（包含风口、风管、铜管等所有）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2.型号：按设计要求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3.安装形式：天棚内暗装</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663"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9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5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5137"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52"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bl>
    <w:p>
      <w:pPr>
        <w:rPr>
          <w:rFonts w:hint="default"/>
          <w:lang w:val="en-US" w:eastAsia="zh-CN"/>
        </w:rPr>
      </w:pPr>
      <w:r>
        <w:rPr>
          <w:rFonts w:hint="default"/>
          <w:lang w:val="en-US" w:eastAsia="zh-CN"/>
        </w:rPr>
        <w:br w:type="page"/>
      </w:r>
    </w:p>
    <w:tbl>
      <w:tblPr>
        <w:tblStyle w:val="5"/>
        <w:tblW w:w="140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9"/>
        <w:gridCol w:w="307"/>
        <w:gridCol w:w="2559"/>
        <w:gridCol w:w="731"/>
        <w:gridCol w:w="6545"/>
        <w:gridCol w:w="838"/>
        <w:gridCol w:w="970"/>
        <w:gridCol w:w="969"/>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4020" w:type="dxa"/>
            <w:gridSpan w:val="9"/>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弱电工程材料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4" w:type="dxa"/>
            <w:gridSpan w:val="2"/>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0786"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川高公司纪检谈话室标准化改造装修项目材料供应单位【弱电工程】</w:t>
            </w:r>
          </w:p>
        </w:tc>
        <w:tc>
          <w:tcPr>
            <w:tcW w:w="976" w:type="dxa"/>
            <w:tcBorders>
              <w:top w:val="nil"/>
              <w:left w:val="nil"/>
              <w:bottom w:val="nil"/>
              <w:right w:val="nil"/>
            </w:tcBorders>
            <w:noWrap w:val="0"/>
            <w:vAlign w:val="bottom"/>
          </w:tcPr>
          <w:p>
            <w:pPr>
              <w:jc w:val="left"/>
              <w:rPr>
                <w:rFonts w:hint="eastAsia" w:ascii="宋体" w:hAnsi="宋体" w:eastAsia="宋体" w:cs="宋体"/>
                <w:i w:val="0"/>
                <w:iCs w:val="0"/>
                <w:color w:val="000000"/>
                <w:sz w:val="20"/>
                <w:szCs w:val="20"/>
                <w:u w:val="none"/>
              </w:rPr>
            </w:pPr>
          </w:p>
        </w:tc>
        <w:tc>
          <w:tcPr>
            <w:tcW w:w="1774" w:type="dxa"/>
            <w:gridSpan w:val="2"/>
            <w:tcBorders>
              <w:top w:val="nil"/>
              <w:left w:val="nil"/>
              <w:bottom w:val="nil"/>
              <w:right w:val="nil"/>
            </w:tcBorders>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1.304不锈钢面板，304不锈钢按钮</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单口面板</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1.具有标签框及语音数据表示符，可供用户识别语音、数据等不同用途；嵌入组合式，配合86底盒，安装方便，表面隐藏螺钉孔，美观大方,各孔均配有专门的防尘门</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86底盒</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86底盒</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1.6位 五孔</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RVV2*1.0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1.RVV2*1.0</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284.04</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RVV3*2.5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1.RVV3*2.5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167.66</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RVVP4*1.0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1.RVVP4*1.0</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84.24</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 DN25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1.直径25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 标准理线架</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多媒体弱电箱</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1.1路220V输入，9路12V2A输出</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1.2000(H)*600(W)*1200(D)</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PDU电源 8位 10A</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1.18位 10A</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金属桥架 200*100</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1.200*100；材质 钢制 厚度1.2mm</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TF卡</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1.TLC 晶元，擦写次数 3000 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2.标称容量 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3.丝印，彩包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4.Class10 ， UHS-I (读 90MB/s ，写 45MB/s ) </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温湿度显示屏</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1.显示范围：温度：-19℃ ～99℃ ，湿度：0％ ～99％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2.测量精度 ：＜±1℃ ，湿度＜ ±4%RH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3.显示时间精确到秒（年月日、时分秒）</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高清审讯主机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1.满足同步录音录像要求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2.支持6路400W IPC接入或8路1080p IPC输入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3.自带7寸触摸屏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4.支持画中画配置（画面合成）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5.支持一键审讯、一键回放、一键打点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6.2路VGA输入和2路HDMI输入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7.2路HDMI输出，1路VGA输出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8.支持全路数H.265编解码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9.支持视频信息上叠加温湿度信息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10.智能分析路数：4路智能行为分析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11.智能分析功能：人数异常检测、站立起身检测、攀高检测、离岗/睡岗检测、剧烈运动检测、离床检测、如厕超时检测、声强突变8种异常行为分析和实时报警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12.标配2个DVD光驱，支持双光驱同步刻录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13.支持4个SATA接口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14.支持容量最大为8TB的硬盘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15.19英寸 3U机箱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16.2个RJ45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17.8个报警输入、4个报警输出、2个RS-232、4个RS-485接口、4个USB接口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18.含2块8T企业级硬盘</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校时服务器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1.根据授时信号的强度，支持GPS/北斗自动切换校时，可选配支持CDMA模块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2.守时能力：精度24小时＜28us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3.授时容量：单端口≥7000次/秒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4.标配4个端口（可选6个端口）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5.高授时精度：＜5 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6.授时频段：GPS授时中心频率1575MHz；北斗授时中心频率2491MHz；CDMA授时中心频率800MHz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7.电源功率  50W</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24盘位磁盘阵列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1.可接入硬盘≥24块；不低于64位多核处理器，≥4GB内存，内存支持扩展到≥256GB，≥2个千兆网口，支持增扩≥2个万兆网口或≥4个千兆网口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2.应支持1TB、2TB、4TB、6TB、8TB等容量硬盘，支持氦气硬盘和空气硬盘，支持硬盘交错/分时启动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3.支持RAID0、1、5、6支持全局、局部等多种热备选择，支持坏盘自动重构；支持当磁盘处于非工作状态下，进入休眠状态，进行读写操作时可被唤醒，增加磁盘寿命；支持智能风扇调速，支持智能CPU调频等功能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4.接入带宽≥1500Mbps，支持对视音频、图片、智能数据（智能行为分析录像）流进行混合直存，无须存储服务器和图片服务器的参与，平台服务器宕机时，存储业务正常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5.支持磁盘自动修复功能，当磁盘发生非物理性损坏导致读写中断等异常时，设备可自动判断磁盘损坏程度，可通过磁盘冷启动进行恢复操作，业务不中断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6.支持故障隔离功能，存储业务模块可存放在不同容器中，一个业务模块故障时，不影响其它业务模块，系统可自动重启业务模块并恢复原有业务；支持虚拟化成≥5台具有同等软件能力的设备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硬盘体检功能，支持硬盘体检报告、磁盘深度体检与磁盘档案查看，支持图形化显示硬盘生命周期曲线、显示硬盘原始数据读取错误率、上电时间、上电时长计数、意外断电计数、重映射扇区数、磁盘振动等多种硬盘相关健康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8.支持全帧索引回放，并支持下载视频文件；支持在录像文件目录损坏时重建索引、恢复录像查询；支持硬盘无螺丝安装，支持远程实现每一块硬盘指示灯的单独点亮操作，可定位磁盘位置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9.含24块8T企业级硬盘</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刻录打印一体机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1.盘片数：200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2.独立废盘桶：有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3.打印机数量：1台（彩色喷墨，4800dpi,4色）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4.最大光驱数：2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5.刻录速度：视光驱数量和光盘种类而定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6.操作系统：Window 7/10/server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7.应用软件：NETZON oOcean Publish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8.通信接口：RJ-45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9.最大功耗：150W</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蓝光光驱驱动器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1.接口 USB2.0/USB3.0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2.使用光盘尺寸 12cm/8cm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3.支持盘片标准 Audio CD Videl CD CD-I CD-Extra Photo CD CD-Text CD-ROM/XA Multi-session CD BD video DVD Video</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1.拾音距离 5-200平方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2.音频传输距离 3000米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 -52dB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 20Hz ～ 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5.指向特性 全向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 95dB ( 1米40 dB音源)50dB (10米40 dB音源) 1KHz at 1 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7.动态范围 100dB (1KHz at Max dB SPL)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8.最大承受音压 120dB SPL (1KHz,THD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9.输出阻抗 200欧姆非平衡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10.输出信号幅度 2.5Vpp/-25db；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11.麦克风 全向电容咪头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12.咪头数量 单一咪头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13.信号处理电路 DSP数字算法专业音频处理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14.防水特性 室内防尘</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紧急报警按钮</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1.紧急按钮面板式（适合86底盒），无钉孔，86*86*32mm</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1.上锁时 NO 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2.开锁时 NC 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3.最大拉力 280kg 静态直线拉力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4.含支架</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发卡器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1.支持两个SIM卡尺寸的PSAM卡座，通过USB口实现同PC机及相关设备的连接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2.设备符合ISO 14443 A/B、ISO 7816标准，读卡频率13.56MHZ和125KHZ，可识别Mifare 1卡、CPU卡、二代身份证卡、ID（EM）卡等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3.发卡过程数据采用高等级加密算法，严格保障数据通信安全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4.工作温度满足-20℃~+60℃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5.设备工作电流：0.2A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6.应支持在线升级功能，可在线更新设备程序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7.设备具备完善的开发接口，提供通用接口函数库，可支持多种操作系统和语言开发平台</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1.Ic卡</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手持金属探测器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 标配充电电池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 约25KHz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3.电压：9V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4.净重：400G（不含电池）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5.使用温度: 使用温度: -20℃ to  +55℃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RVV3*6</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1.RVV3*6</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半球摄像机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1.传感器类型：1/2.7"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2.最低照度：彩色：0.01 Lux @（F1.2，AGC ON），黑白：0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3.宽动态：120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4.补光灯类型：红外灯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5.补光距离：最远可达30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6.波长范围：850 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7.防补光过曝：支持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8.最大图像尺寸：1920 × 1080</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6A类屏蔽模块</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输带宽≥250MHz，满足1000兆数据传输，接触针全部镀金，厚度为50μ(inch)、插拔寿命≥750次，IDC线卡镀镍，采用免工具安装，可卡接线径为0.50~0.64mm的铜线，重复卡接&gt;200次，568A/B打线色标清晰标注，便于准确、快速地完成端接</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1.PC25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482.72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6A类屏蔽双绞线</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六类屏蔽数字电缆传输带宽≥250MHz，满足1000兆数据传输，采用中心十字架结构；铜芯材料采用优质TR实芯裸铜导体,铜线直径≥0.57mm，满足线规23AWG；绝缘采用优质高密度聚乙烯（HDPE）厚度≥0.235mm，护套材料采用优质PVC料，厚度为0.6±0.05mm；铜缆外径为￠6.3±0.1mm</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6A类屏蔽跳线</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1.传输带宽≥250MHz，满足1G数据传导，RJ45水晶头，屏蔽结构；具有防止松动、自锁、插拔灵活的功能，接点镀金厚度为50μ(inch)，插拔寿命&gt;1000次；3米</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门禁配电箱</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6KVA UPS主机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1.6KVA</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铅酸蓄电池 12V65AH</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1.12V65AH 免维护铅酸电池，后备120分钟</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特写摄像机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1.400万1/2.8＂CMOS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2.支持高清网络、HD-SDI信号同时输出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3.高清网络视频输出：2560×1440@25fps/30fps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4.HD-SDI视频输出：1080P@25fps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5.支持485接入温湿度显示屏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6.并以OSD形式叠加温度、湿度信息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7.4倍光学变倍 16倍数字变倍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8.支持采用H.265、H.264视频编码标准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9.音频编码支持AAC 48kHz音频采样率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10.支持超低照度彩色：0.005Lux @ (F1.6，AGC ON)；黑白：0.001Lux @ (F1.6，AGC ON)水平及垂直范围：水平350°监控无死角；垂直0°-90°键控速度：水平0.1°-60°/s;垂直：0.1°-50°/s；速度可设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11.防护等级 IP66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12.防暴等级 IK10</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广角摄像机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1.支持最大分辨率可达2560×1920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2.摄像机镜头≤1.85mm，水平视场角不小于172°，垂直视场角不小于130°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3.最低照度彩色：0.005lx，黑白:0.001lx。4.需支持三码流技术，主码流最高2560x1920@25fps，子码流最高704x576@25fps，第三码流最高704x576@25fps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4.红外补光不小于20米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5.同一静止场景相同图像质量下，设备在H.265编码方式时，开启智能编码功能和不开启智能编码相比，码率节约1/2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6.支持设置纯视频流和音视频复合流两种视频类型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7.内置双MIC，支持双MIC噪声过滤；对讲过程中，可过滤稳态噪声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8.设备支持镜头矫正功能，可通过网页客户端开启/关闭镜头矫正功能，可设置矫正强度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9种行为分析：攀高、起身、关注区域目标消失超时、人数异常、离岗、关注区域滞留、静坐、重点人员起身、站立起身。支持配置每种行为的名称、报警布防时间段、报警联动类型、检测区域。检测区域可设置为多边形，最多不超过10条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10.需支持本地SD卡存储，最大支持256G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内置≥1颗GPU芯片、≥2个麦克风、≥1个扬声器，具有≥1个RJ45网络接口、≥1个CVBS接口、≥2个音频输入接口、≥1个音频输出接口、≥1个RS485接口、≥2个报警输入接口、≥2个报警输出接口12.支持不低于IP67防尘防水等级，IK10碰撞防护等级</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刷卡密码门禁一体机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1.采用最新一代触摸式蓝光显示按键及个性门铃按钮设计，外型轻薄、造型时尚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 2.8 寸图文型液晶显示屏显示时间、日期、星期等信息，可设置读卡时显示名字、卡号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 TCP/IP 有线和无线 WiFi 联网（仅 DS-K1T105AM、DS-K1T105AE），同时支持海康 ISUP5.0、Ehome4.0 协议，可实现跨网通讯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4.支持存储 10 万笔合法卡号、10 万个密码和 30 万笔事件记录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5.支持刷卡、密码、刷卡+密码等多种认证方式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 RS485 或者韦根（w26/w34）对接门禁主机，当读卡器使用（指纹一体机需要单独接网线连接平台，实现人员卡片权限等下发）；还可通过 RS485 接入门控安全模块，防止主机被恶意破坏的情况下，门锁不被打开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7.支持外接一台 RS485 通讯或者韦根（w26/w34）通讯的副读卡器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8.支持脱机运行，支持单机操作管理，可查询刷卡记录，且操作具有语音提示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9.支持支持防拆报警、门被外力开起报警、胁迫卡和胁迫密码报警</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谈话综合管理平台</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1.包括走读管理、医疗保障、视频监控、后勤保障、系统管理五大模块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走读管理：支持走读申请，根据谈话室状态，用户发起谈话室使用申请。支持走读审批，分管部门对谈话室使用申请信息进行审核同意。支持谈话室分配，分管部门对审核通过的谈话室使用申请进行房间分配管理。支持录像下载，下载任务提醒，用户下载次数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疗保障：支持走读体检，谈话对象入场、离场体检信息登记，用药情况登记。支持药品管理，建立药品目录，登记药品库存，药品明细查询，库存损耗、用药自动扣减管理。支持医护人员交接班管理，详细记录驻点医护人员入场、离场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4.视频监控：支持实时预览，用户分权限查询谈话室实时录像。支持录像回放，用户分权限查询回放录像，下载录像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5.后勤保障：支持设备运维，24小时监测摄像头、审讯主机核心业务设备以及后台服务器等不同类型设备的运行状态。支持设备管理，对谈话区域安装的摄像头、审讯主机、终端等核心设备进行基础信息维护管理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管理：支持组织机构，录入组织机构和下级业务部门，实现业务部门和部门人员的逐级授权管理，以及业务跨部门之间的系统协作。支持人员管理，人员实名制登记。支持用户管理，给用户分配系统访问账号。支持权限管理，提供统一用户及授权管理服务，实现用户权限认证。支持房间管理，对谈话区域的房号、房间类型进行维护管理。支持系统日志，监视系统中发生的事件，对用户操作进行审计，记录用户名、登录IP、操作内容、操作时间等信息，支持日志查询和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7.授权房间数：2个</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综合安防管理平台</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1.支持统一管理视频监控、一卡通、车辆管控、报警检测、综合管控等应用，实现安防系统的智能化应用及统一集成化管理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支持监控点管理容量≥100000路，最大支持用户≥10000个，支持并发在线用户≥1000个；本次项目配置授权路数要求：监控≥100路、门禁≥100路、报警点≥100个，支持智能行为分析设备接入，并且联动平台进行视频弹窗以及前端警灯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3.支持用户密码有效时间段进行设置管理，支持用户IP绑定，指定IP地址用户才能登陆平台；支持BS、CS客户端以及IOS、Android移动端应用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4.支持自动在1/4/6/7/9/16/24画面分隔模式间进行监控点轮巡预览，轮巡时间可设置，支持全屏显示，预览画面支持监控点信息、语音对讲、开关声音、云台与镜头控制、抓图、多图抓拍等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5.支持门禁设备接入、管理和控制，支持门禁权限配置和下发，支持卡（含身份证）、人脸、指纹、卡密码等凭证单独或组合使用的认证方式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业务应用组件化，各组件独立运行维护、独立安装或卸载，支持部署组件（服务）到服务器集群，支持集群管理，支持系统分布式、负载均衡等技术，支持多级架构进行系统平台规模扩展，支持开放API接口给第三方系统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根据用户使用习惯自定义配置快捷功能入口，支持首页投放大屏展示，支持不少于最近七日的用户活跃数统计，支持对系统中的分组、服务器、组件等统计概览、查看，支持统计服务器在线率及各服务器在线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8.支持不同色彩展示运行告警状态，支持告警统计、概览、处理，支持告警记录查看、查询，支持告警单条、批量处理；支持系统最近7天每日告警数统计，支持评分量化系统监控指数，显示系统运行状态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对服务的参数配置进行查询、查看、修改、下发，支持告警策略配置启用、查看、修改、设置，支持集群信息查看、添加、删除，支持授权查看管理、导入、移除授权文件；支持在线授权激活、离线授权激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查看视频设备、门禁设备、停车场出入口设备、可视对讲设备、梯控设备、报警设备、消防设备、安检设备、其他类型设备的设备接入的情况和在离线信息展示，支持查看监控点、门禁点、报警防区、IO通道等通道资源接入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12.支持在预览监控点画面时进行一键上墙、 云台控制、语音对讲，支持视频画面叠加水印，包括视频预览、录像回放、即时回放、录像剪辑、手动录像和录像下载时叠加，支持录像回放和录像下载权限分离，支持为用户分配是否具有录像下载权限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13.支持全景摄像机，实现360度的全景监控，可以对全景区域内的多个目标进行穿越警戒面、区域入侵、进入区域、离开区域行为的检测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14.支持配置级联点位录像计划，支持级联点位抓图计划配置、图片查询和手动抓图，图片查询支持批量下载，支持配置批量下载图片数量上限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15.支持门禁权限自动下发更新数据到设备，支持人脸建模的批量下发，支持全量下发和增量下发，支持可设置门禁权限为长期有效，支持门禁权限手动冻结、解冻，支持自动清理一定时间范围未使用的门禁权限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16.支持通过虹膜门禁一体机、虹膜录入仪完成虹膜采集，支持人员虹膜权限下发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17.支持查看和导出人员通道事件，至少包括尾随通行、反向闯入、外力冲撞、翻越、通行超时事件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18.支持访客条码、二维码、身份证、IC卡、人脸等多种介质授权通行门禁、可视对讲、梯控、停车场，支持联动开通智能柜、消费权限，支持访客身份证人证合一验证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入侵报警设备子系统状态展示、布/撒防、批量布/撒防、消警、报警防区展示、布/撤防、旁路、旁路恢复等操作；支持获取报警主机的防区及扩展防区信息，支持对扩展防区进行布防、撒防、旁路、旁路恢复操作，支持接收扩展防区的上报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20.支持报警事件分流管理，当处理人超时未处理报警事件时能自动转其他用户处理，支持批量处理报警事件并记录处理意见，处理单个报警事件时可选预置处理意见实现快速处理，支持转其他用户处理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21.支持以脸搜脸，对人脸图片进行检索，检索结果支持列表模式和地图模式，地图模式可以按照时间顺序形成人脸轨迹，用于描述目标人员在该区域的移动路线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上传图片并识别图片中人脸、人体和车辆，支持选择人脸、人体和车辆搜索符合目标的抓拍记录并展示轨迹；支持将抓拍记录中的人脸加入人脸分组进行一键布防，加入人脸分组时支持检测分组中是否已有相似人脸及相似度，如有相似人脸则进行提示并可选择是否加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23.支持对陌生人识别，人脸不在名单内时，系统自动报警；支持高频人员识别，支持查看高频人员出现的次数、抓拍时间、抓拍点、人脸抓拍图、抓拍原图、人脸轨迹等，并将人员加入分组进行一键布控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接入行为分析服务器，接收行为分析事件并进行联动，行为分析事件包括：穿越警戒线、区域入侵、进入区域、离开区域、徘徊、停车、物品遗留、物品拿取、快速移动、疑似肢体冲突、人群聚集、突然倒地、起身、折线攀高、离岗、剧烈运动、玩手机检测、人数异常检测、声强突变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25.支持开启自动发现，支持通过交换机设备IP、协议信息发现获取网络中的资源，支持重新发现，支持对发现的资源进行区域绑定，支持查看拓扑页面中的资源告警和线路告警，支持对告警进行处理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26.支持对拓扑图进行编辑操作，包括拓扑布局修改、拓扑节点搜索、拓扑路线编辑，支持查看监控点到服务器之间的网络连接和流量情况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支持IPv6网络适配，支持IPv6环境下部署、平台访问和业务应用实现</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应用服务器</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1.2U双路机架式服务器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 1颗X86 Intel Xeon CPU，单颗CPU 2.9GHz 16物理核心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 128GB DDR4 ，支持16个内存插槽，支持内存ECC保护、内存镜像、内存热备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4.支持12个前置热插拔硬盘，支持SAS/SATA/SSD硬盘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5.板载高端双口千兆网卡，支持NCSI、网络唤醒，网络冗余，负载均衡等网络高级特性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6.配置热插拔铂金1+1冗余电源，单个电源功率550W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7.BIOS中文界面支持BIOS中英文界面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8.安全可支持TPM安全模块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9.配置4TB SATA硬盘</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1.10/100/1000M电口≥24个、万兆SFP+光口≥4个，电源接口前置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2.交换容量≥430Gbps，包转发率≥120Mpps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3.MAC地址缓存能力≥16K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4.支持多虚一功能，可达到16设备虚1，纵向虚拟化（MVST）功能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5.支持ERPS（G.8032）协议，ZTP零配置开局等功能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6.支持终端脆弱性扫描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7.设备经过漏洞扫描软件测试后，不存在高危漏洞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8.支持DHCP SERVER，支持静态路由、RIPV1/V2动态路由</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16口接入交换机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1.10M/100M/1000M电接口≥16，千兆光接口≥4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2.电接口均支持POE，POE+供电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3.交换容量≥128Gbps, 包转发率≥30Mpps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4.支持4K个VLAN，支持QINQ，支持STP/RSTP/MSTP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5.支持用户权限/身份认证、端口安全、端口限速、端口监控、地址过滤认证等多种安全策略；支持IP、MAC、ARP等元素的绑定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6.平均无故障时间≥10万小时，需提供官方网站截图证明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7.支持console, SSH管理,telnet远程管理，WEB，SNMPV1/V2/V3、RMON、syslog</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000000"/>
                <w:sz w:val="24"/>
                <w:szCs w:val="24"/>
                <w:u w:val="none"/>
              </w:rPr>
            </w:pPr>
          </w:p>
        </w:tc>
      </w:tr>
    </w:tbl>
    <w:p>
      <w:pPr>
        <w:rPr>
          <w:rFonts w:hint="default"/>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highlight w:val="none"/>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jc w:val="both"/>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7"/>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7"/>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7"/>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17530"/>
    <w:rsid w:val="1CA17530"/>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2024-06-18T06:06:00Z</dcterms:created>
  <dc:creator>mid</dc:creator>
  <cp:lastModifiedBy>mid</cp:lastModifiedBy>
  <dcterms:modified xsi:type="dcterms:W3CDTF">2024-06-18T06:07:14Z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3A0E2BB1AD0F470B87EEE4636DF03B70</vt:lpwstr>
  </property>
</Properties>
</file>