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36"/>
          <w:szCs w:val="36"/>
          <w:highlight w:val="none"/>
          <w:lang w:eastAsia="zh-CN"/>
        </w:rPr>
      </w:pPr>
    </w:p>
    <w:p>
      <w:pPr>
        <w:jc w:val="center"/>
        <w:rPr>
          <w:rFonts w:hint="eastAsia" w:ascii="仿宋" w:hAnsi="仿宋" w:eastAsia="仿宋"/>
          <w:color w:val="auto"/>
          <w:sz w:val="36"/>
          <w:szCs w:val="36"/>
          <w:highlight w:val="none"/>
          <w:lang w:eastAsia="zh-CN"/>
        </w:rPr>
      </w:pPr>
    </w:p>
    <w:p>
      <w:pPr>
        <w:jc w:val="center"/>
        <w:rPr>
          <w:rFonts w:hint="eastAsia" w:ascii="仿宋" w:hAnsi="仿宋" w:eastAsia="仿宋"/>
          <w:color w:val="auto"/>
          <w:sz w:val="36"/>
          <w:szCs w:val="36"/>
          <w:highlight w:val="none"/>
          <w:lang w:eastAsia="zh-CN"/>
        </w:rPr>
      </w:pPr>
    </w:p>
    <w:p>
      <w:pPr>
        <w:jc w:val="center"/>
        <w:rPr>
          <w:rFonts w:hint="eastAsia"/>
          <w:color w:val="auto"/>
          <w:sz w:val="18"/>
          <w:szCs w:val="21"/>
          <w:highlight w:val="none"/>
        </w:rPr>
      </w:pPr>
      <w:bookmarkStart w:id="2" w:name="_GoBack"/>
      <w:r>
        <w:rPr>
          <w:rFonts w:hint="eastAsia" w:ascii="仿宋" w:hAnsi="仿宋" w:eastAsia="仿宋"/>
          <w:color w:val="auto"/>
          <w:sz w:val="36"/>
          <w:szCs w:val="36"/>
          <w:highlight w:val="none"/>
          <w:lang w:eastAsia="zh-CN"/>
        </w:rPr>
        <w:t>川高文旅公司下属企业房地产市场价值及市场租金评估</w:t>
      </w:r>
      <w:bookmarkEnd w:id="2"/>
    </w:p>
    <w:p>
      <w:pPr>
        <w:rPr>
          <w:rFonts w:hint="eastAsia"/>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4"/>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4"/>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6"/>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6"/>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6"/>
        <w:ind w:firstLine="0"/>
        <w:jc w:val="center"/>
        <w:rPr>
          <w:rFonts w:hint="eastAsia" w:ascii="宋体" w:hAnsi="宋体"/>
          <w:color w:val="auto"/>
          <w:sz w:val="30"/>
          <w:szCs w:val="30"/>
          <w:highlight w:val="none"/>
        </w:rPr>
      </w:pPr>
    </w:p>
    <w:p>
      <w:pPr>
        <w:pStyle w:val="6"/>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川高文旅公司下属企业房地产市场价值及市场租金评估</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（比选申请人的名称）递交下列文件的一份正本、两份副本给贵方。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川高文旅公司下属企业房地产市场价值及市场租金评估</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rPr>
        <w:t>不含税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元，含税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元</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z w:val="24"/>
          <w:highlight w:val="none"/>
          <w:u w:val="single"/>
          <w:lang w:val="en-US" w:eastAsia="zh-CN"/>
        </w:rPr>
        <w:t>30个日历天</w:t>
      </w:r>
      <w:r>
        <w:rPr>
          <w:rFonts w:hint="eastAsia" w:ascii="宋体" w:hAnsi="宋体"/>
          <w:color w:val="auto"/>
          <w:spacing w:val="-2"/>
          <w:sz w:val="24"/>
          <w:highlight w:val="none"/>
        </w:rPr>
        <w:t>，按比选文件规定和合同约定实施，达到</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val="en-US" w:eastAsia="zh-CN"/>
        </w:rPr>
        <w:t>满足甲方要求</w:t>
      </w:r>
      <w:r>
        <w:rPr>
          <w:rFonts w:hint="eastAsia" w:ascii="宋体" w:hAnsi="宋体"/>
          <w:color w:val="auto"/>
          <w:spacing w:val="-2"/>
          <w:sz w:val="24"/>
          <w:highlight w:val="none"/>
          <w:u w:val="singl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pStyle w:val="5"/>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tbl>
      <w:tblPr>
        <w:tblStyle w:val="8"/>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4"/>
        <w:gridCol w:w="3969"/>
        <w:gridCol w:w="3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80" w:type="dxa"/>
            <w:gridSpan w:val="3"/>
            <w:vMerge w:val="restart"/>
            <w:tcBorders>
              <w:top w:val="nil"/>
              <w:left w:val="nil"/>
              <w:bottom w:val="nil"/>
              <w:right w:val="nil"/>
            </w:tcBorders>
            <w:noWrap/>
            <w:vAlign w:val="center"/>
          </w:tcPr>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28"/>
                <w:szCs w:val="28"/>
                <w:u w:val="none"/>
              </w:rPr>
            </w:pPr>
            <w:r>
              <w:rPr>
                <w:rFonts w:hint="default" w:ascii="宋体" w:hAnsi="宋体" w:eastAsia="宋体" w:cs="宋体"/>
                <w:i w:val="0"/>
                <w:iCs w:val="0"/>
                <w:color w:val="000000"/>
                <w:kern w:val="0"/>
                <w:sz w:val="36"/>
                <w:szCs w:val="36"/>
                <w:u w:val="none"/>
                <w:lang w:val="en-US" w:eastAsia="zh-CN" w:bidi="ar"/>
              </w:rPr>
              <w:t>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80" w:type="dxa"/>
            <w:gridSpan w:val="3"/>
            <w:vMerge w:val="continue"/>
            <w:tcBorders>
              <w:top w:val="nil"/>
              <w:left w:val="nil"/>
              <w:bottom w:val="nil"/>
              <w:right w:val="nil"/>
            </w:tcBorders>
            <w:noWrap/>
            <w:vAlign w:val="center"/>
          </w:tcPr>
          <w:p>
            <w:pPr>
              <w:jc w:val="center"/>
              <w:rPr>
                <w:rFonts w:hint="default" w:ascii="方正小标宋_GBK" w:hAnsi="方正小标宋_GBK" w:eastAsia="方正小标宋_GBK" w:cs="方正小标宋_GBK"/>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公司名称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2</w:t>
            </w:r>
          </w:p>
        </w:tc>
        <w:tc>
          <w:tcPr>
            <w:tcW w:w="416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仪陇县交投高路地产有限公司</w:t>
            </w:r>
          </w:p>
        </w:tc>
        <w:tc>
          <w:tcPr>
            <w:tcW w:w="3400"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3</w:t>
            </w:r>
          </w:p>
        </w:tc>
        <w:tc>
          <w:tcPr>
            <w:tcW w:w="4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巴中市恩阳交投高路房地产开发有限公司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合计（含税）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注：此表仅作为比选申请人须知前附表第20条规定的合同签订要求中费用依据。</w:t>
      </w: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pStyle w:val="5"/>
        <w:rPr>
          <w:rFonts w:hint="eastAsia" w:ascii="宋体" w:hAnsi="宋体"/>
          <w:color w:val="auto"/>
          <w:sz w:val="30"/>
          <w:szCs w:val="30"/>
          <w:highlight w:val="none"/>
        </w:rPr>
      </w:pPr>
    </w:p>
    <w:p>
      <w:pPr>
        <w:rPr>
          <w:rFonts w:hint="eastAsia" w:ascii="宋体" w:hAnsi="宋体"/>
          <w:color w:val="auto"/>
          <w:sz w:val="30"/>
          <w:szCs w:val="30"/>
          <w:highlight w:val="none"/>
        </w:rPr>
      </w:pPr>
    </w:p>
    <w:p>
      <w:pPr>
        <w:pStyle w:val="5"/>
        <w:rPr>
          <w:rFonts w:hint="eastAsia"/>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both"/>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pPr>
              <w:spacing w:line="360" w:lineRule="auto"/>
              <w:jc w:val="center"/>
              <w:rPr>
                <w:rFonts w:hint="eastAsia" w:ascii="宋体" w:hAnsi="宋体"/>
                <w:color w:val="auto"/>
                <w:sz w:val="24"/>
                <w:highlight w:val="none"/>
              </w:rPr>
            </w:pPr>
          </w:p>
        </w:tc>
        <w:tc>
          <w:tcPr>
            <w:tcW w:w="180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pPr>
        <w:rPr>
          <w:rFonts w:ascii="宋体" w:hAnsi="宋体"/>
          <w:color w:val="auto"/>
          <w:sz w:val="24"/>
          <w:highlight w:val="none"/>
        </w:rPr>
      </w:pPr>
    </w:p>
    <w:tbl>
      <w:tblPr>
        <w:tblStyle w:val="8"/>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bl>
    <w:p>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pPr>
        <w:rPr>
          <w:rFonts w:ascii="宋体" w:hAnsi="宋体"/>
          <w:color w:val="auto"/>
          <w:sz w:val="24"/>
          <w:highlight w:val="none"/>
        </w:rPr>
      </w:pPr>
    </w:p>
    <w:p>
      <w:pPr>
        <w:ind w:left="5920"/>
        <w:rPr>
          <w:rFonts w:hint="eastAsia" w:ascii="宋体" w:hAnsi="宋体"/>
          <w:color w:val="auto"/>
          <w:sz w:val="24"/>
          <w:highlight w:val="none"/>
        </w:rPr>
      </w:pP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pPr>
        <w:rPr>
          <w:rFonts w:ascii="宋体" w:hAnsi="宋体"/>
          <w:color w:val="auto"/>
          <w:sz w:val="24"/>
          <w:highlight w:val="none"/>
        </w:rPr>
        <w:sectPr>
          <w:footerReference r:id="rId5" w:type="first"/>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pPr>
        <w:pStyle w:val="4"/>
        <w:numPr>
          <w:ilvl w:val="0"/>
          <w:numId w:val="0"/>
        </w:numPr>
        <w:spacing w:line="270" w:lineRule="auto"/>
        <w:ind w:leftChars="0"/>
        <w:jc w:val="center"/>
        <w:rPr>
          <w:rFonts w:ascii="等线" w:hAnsi="等线"/>
          <w:color w:val="auto"/>
          <w:sz w:val="30"/>
          <w:highlight w:val="none"/>
        </w:rPr>
      </w:pPr>
      <w:bookmarkStart w:id="0" w:name="page154"/>
      <w:bookmarkEnd w:id="0"/>
      <w:bookmarkStart w:id="1" w:name="_Toc256000049"/>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8"/>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pPr>
        <w:pStyle w:val="11"/>
        <w:rPr>
          <w:color w:val="auto"/>
          <w:highlight w:val="none"/>
        </w:rPr>
      </w:pPr>
      <w:r>
        <w:rPr>
          <w:rFonts w:hint="eastAsia"/>
          <w:color w:val="auto"/>
          <w:highlight w:val="none"/>
        </w:rPr>
        <w:t>1、信誉承诺</w:t>
      </w:r>
    </w:p>
    <w:p>
      <w:pPr>
        <w:pStyle w:val="11"/>
        <w:rPr>
          <w:color w:val="auto"/>
          <w:highlight w:val="none"/>
        </w:rPr>
      </w:pPr>
    </w:p>
    <w:p>
      <w:pPr>
        <w:pStyle w:val="10"/>
        <w:spacing w:line="360" w:lineRule="auto"/>
        <w:ind w:firstLine="480"/>
        <w:jc w:val="center"/>
        <w:rPr>
          <w:color w:val="auto"/>
          <w:sz w:val="24"/>
          <w:szCs w:val="24"/>
          <w:highlight w:val="none"/>
        </w:rPr>
      </w:pPr>
    </w:p>
    <w:p>
      <w:pPr>
        <w:pStyle w:val="10"/>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10"/>
        <w:spacing w:line="360" w:lineRule="auto"/>
        <w:ind w:firstLine="480"/>
        <w:jc w:val="center"/>
        <w:rPr>
          <w:color w:val="auto"/>
          <w:sz w:val="24"/>
          <w:szCs w:val="24"/>
          <w:highlight w:val="none"/>
        </w:rPr>
      </w:pPr>
    </w:p>
    <w:p>
      <w:pPr>
        <w:pStyle w:val="10"/>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11"/>
        <w:rPr>
          <w:rFonts w:ascii="等线" w:hAnsi="等线"/>
          <w:color w:val="auto"/>
          <w:szCs w:val="21"/>
          <w:highlight w:val="none"/>
        </w:rPr>
      </w:pPr>
    </w:p>
    <w:p>
      <w:pPr>
        <w:pStyle w:val="11"/>
        <w:rPr>
          <w:rFonts w:ascii="等线" w:hAnsi="等线"/>
          <w:color w:val="auto"/>
          <w:szCs w:val="21"/>
          <w:highlight w:val="none"/>
        </w:rPr>
      </w:pPr>
    </w:p>
    <w:p>
      <w:pPr>
        <w:pStyle w:val="11"/>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ascii="仿宋" w:hAnsi="仿宋" w:eastAsia="仿宋"/>
          <w:color w:val="auto"/>
          <w:sz w:val="32"/>
          <w:szCs w:val="32"/>
          <w:highlight w:val="non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sectPr>
      <w:footerReference r:id="rId8" w:type="first"/>
      <w:headerReference r:id="rId6" w:type="default"/>
      <w:footerReference r:id="rId7"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fldChar w:fldCharType="begin"/>
    </w:r>
    <w:r>
      <w:instrText xml:space="preserve">PAGE   \* MERGEFORMAT</w:instrText>
    </w:r>
    <w:r>
      <w:fldChar w:fldCharType="separate"/>
    </w:r>
    <w:r>
      <w:rPr>
        <w:lang w:val="zh-CN"/>
      </w:rPr>
      <w:t>29</w:t>
    </w:r>
    <w:r>
      <w:fldChar w:fldCharType="end"/>
    </w:r>
  </w:p>
  <w:p>
    <w:pPr>
      <w:pStyle w:val="7"/>
      <w:jc w:val="center"/>
      <w:rPr>
        <w:rFonts w:hint="eastAsia"/>
      </w:rPr>
    </w:pPr>
  </w:p>
  <w:p>
    <w:pPr>
      <w:pStyle w:val="7"/>
      <w:jc w:val="center"/>
      <w:rPr>
        <w:rFonts w:hint="eastAsia"/>
      </w:rPr>
    </w:pPr>
  </w:p>
  <w:p>
    <w:pPr>
      <w:pStyle w:val="7"/>
      <w:jc w:val="center"/>
      <w:rPr>
        <w:rFonts w:hint="eastAsia"/>
      </w:rPr>
    </w:pPr>
  </w:p>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p>
  <w:p>
    <w:pPr>
      <w:pStyle w:val="7"/>
      <w:jc w:val="center"/>
      <w:rPr>
        <w:rFonts w:hint="eastAsia"/>
      </w:rPr>
    </w:pPr>
  </w:p>
  <w:p>
    <w:pPr>
      <w:pStyle w:val="7"/>
      <w:jc w:val="center"/>
      <w:rPr>
        <w:rFonts w:hint="eastAsia"/>
      </w:rPr>
    </w:pPr>
  </w:p>
  <w:p>
    <w:pPr>
      <w:pStyle w:val="7"/>
      <w:jc w:val="center"/>
      <w:rPr>
        <w:rFonts w:hint="eastAsia"/>
      </w:rPr>
    </w:pPr>
  </w:p>
  <w:p>
    <w:pPr>
      <w:pStyle w:val="7"/>
      <w:jc w:val="cente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C237F"/>
    <w:rsid w:val="2A393E09"/>
    <w:rsid w:val="2D234582"/>
    <w:rsid w:val="4CEC3061"/>
    <w:rsid w:val="544C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spacing w:after="0"/>
      <w:ind w:left="0" w:leftChars="0" w:firstLine="420" w:firstLineChars="200"/>
    </w:pPr>
  </w:style>
  <w:style w:type="paragraph" w:customStyle="1" w:styleId="3">
    <w:name w:val="BodyTextIndent"/>
    <w:basedOn w:val="1"/>
    <w:qFormat/>
    <w:uiPriority w:val="0"/>
    <w:pPr>
      <w:spacing w:after="120"/>
      <w:ind w:left="420" w:leftChars="200"/>
      <w:textAlignment w:val="baseline"/>
    </w:pPr>
  </w:style>
  <w:style w:type="paragraph" w:styleId="6">
    <w:name w:val="Normal Indent"/>
    <w:basedOn w:val="1"/>
    <w:qFormat/>
    <w:uiPriority w:val="0"/>
    <w:pPr>
      <w:widowControl/>
      <w:ind w:firstLine="420"/>
      <w:jc w:val="left"/>
    </w:pPr>
    <w:rPr>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10">
    <w:name w:val="List Paragraph"/>
    <w:basedOn w:val="1"/>
    <w:qFormat/>
    <w:uiPriority w:val="34"/>
    <w:pPr>
      <w:ind w:firstLine="420" w:firstLineChars="200"/>
    </w:pPr>
    <w:rPr>
      <w:rFonts w:ascii="Calibri" w:hAnsi="Calibri" w:eastAsia="宋体" w:cs="Times New Roman"/>
      <w:szCs w:val="22"/>
    </w:rPr>
  </w:style>
  <w:style w:type="paragraph" w:customStyle="1" w:styleId="11">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2024-07-26T06:51:00Z</dcterms:created>
  <dc:creator>mid</dc:creator>
  <cp:lastModifiedBy>mid</cp:lastModifiedBy>
  <dcterms:modified xsi:type="dcterms:W3CDTF">2024-07-26T06:51:37Z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1D22AEA1CF79415094A6A9A8E23D0967</vt:lpwstr>
  </property>
</Properties>
</file>