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bookmarkStart w:id="5" w:name="_GoBack"/>
      <w:bookmarkEnd w:id="5"/>
    </w:p>
    <w:p>
      <w:pPr>
        <w:jc w:val="center"/>
        <w:rPr>
          <w:rFonts w:hint="eastAsia"/>
          <w:color w:val="auto"/>
          <w:highlight w:val="none"/>
        </w:rPr>
      </w:pPr>
      <w:r>
        <w:rPr>
          <w:rFonts w:hint="eastAsia" w:ascii="仿宋" w:hAnsi="仿宋" w:eastAsia="仿宋"/>
          <w:color w:val="auto"/>
          <w:sz w:val="44"/>
          <w:szCs w:val="44"/>
          <w:highlight w:val="none"/>
          <w:lang w:eastAsia="zh-CN"/>
        </w:rPr>
        <w:t>川高党建品牌及企业文化建设活动策划服务执行</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川高党建品牌及企业文化建设活动策划服务执行</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川高党建品牌及企业文化建设活动策划服务执行</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2" w:name="page154"/>
      <w:bookmarkEnd w:id="2"/>
      <w:bookmarkStart w:id="3" w:name="_Toc17531"/>
      <w:bookmarkStart w:id="4" w:name="_Toc256000049"/>
      <w:r>
        <w:rPr>
          <w:rFonts w:hint="eastAsia" w:ascii="等线" w:hAnsi="等线"/>
          <w:color w:val="auto"/>
          <w:sz w:val="30"/>
          <w:highlight w:val="none"/>
          <w:lang w:val="en-US" w:eastAsia="zh-CN"/>
        </w:rPr>
        <w:t>五</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30"/>
          <w:szCs w:val="30"/>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六</w:t>
      </w:r>
      <w:r>
        <w:rPr>
          <w:rFonts w:hint="eastAsia" w:ascii="宋体" w:hAnsi="宋体"/>
          <w:color w:val="auto"/>
          <w:sz w:val="30"/>
          <w:szCs w:val="30"/>
          <w:highlight w:val="none"/>
        </w:rPr>
        <w:t>、其它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5" w:type="first"/>
      <w:headerReference r:id="rId3" w:type="default"/>
      <w:footerReference r:id="rId4" w:type="default"/>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D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2024-09-25T02:45:06Z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