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tabs>
          <w:tab w:val="left" w:pos="2268"/>
        </w:tabs>
        <w:ind w:leftChars="0"/>
        <w:jc w:val="center"/>
        <w:rPr>
          <w:rFonts w:hint="eastAsia" w:ascii="仿宋" w:hAnsi="仿宋" w:eastAsia="仿宋"/>
          <w:color w:val="auto"/>
          <w:sz w:val="24"/>
          <w:szCs w:val="28"/>
          <w:highlight w:val="none"/>
        </w:rPr>
      </w:pPr>
      <w:r>
        <w:rPr>
          <w:rFonts w:hint="eastAsia" w:ascii="仿宋" w:hAnsi="仿宋" w:eastAsia="仿宋"/>
          <w:color w:val="auto"/>
          <w:highlight w:val="none"/>
        </w:rPr>
        <w:t>比选申请文件格式</w:t>
      </w:r>
    </w:p>
    <w:p>
      <w:pPr>
        <w:jc w:val="center"/>
        <w:rPr>
          <w:rFonts w:hint="eastAsia" w:ascii="仿宋" w:hAnsi="仿宋" w:eastAsia="仿宋"/>
          <w:color w:val="auto"/>
          <w:sz w:val="44"/>
          <w:szCs w:val="44"/>
          <w:highlight w:val="none"/>
          <w:lang w:eastAsia="zh-CN"/>
        </w:rPr>
      </w:pPr>
    </w:p>
    <w:p>
      <w:pPr>
        <w:rPr>
          <w:rFonts w:hint="eastAsia"/>
          <w:color w:val="auto"/>
          <w:highlight w:val="none"/>
        </w:rPr>
      </w:pPr>
      <w:r>
        <w:rPr>
          <w:rFonts w:hint="eastAsia" w:ascii="仿宋" w:hAnsi="仿宋" w:eastAsia="仿宋"/>
          <w:color w:val="auto"/>
          <w:sz w:val="40"/>
          <w:szCs w:val="40"/>
          <w:highlight w:val="none"/>
          <w:lang w:eastAsia="zh-CN"/>
        </w:rPr>
        <w:t>川高公司2024年冬季行车安全指南宣传物料制作</w:t>
      </w:r>
    </w:p>
    <w:p>
      <w:pPr>
        <w:rPr>
          <w:rFonts w:hint="eastAsia"/>
          <w:color w:val="auto"/>
          <w:highlight w:val="none"/>
        </w:rPr>
      </w:pP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3"/>
        <w:ind w:firstLine="0"/>
        <w:jc w:val="center"/>
        <w:rPr>
          <w:rFonts w:hint="eastAsia" w:ascii="宋体" w:hAnsi="宋体"/>
          <w:color w:val="auto"/>
          <w:sz w:val="30"/>
          <w:szCs w:val="30"/>
          <w:highlight w:val="none"/>
        </w:rPr>
      </w:pPr>
    </w:p>
    <w:p>
      <w:pPr>
        <w:pStyle w:val="3"/>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川高公司2024年冬季行车安全指南宣传物料制作</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（比选申请人的名称）递交下列文件的一份正本、两份副本给贵方。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川高公司2024年冬季行车安全指南宣传物料制作</w:t>
      </w:r>
      <w:r>
        <w:rPr>
          <w:rFonts w:hint="eastAsia" w:ascii="宋体" w:hAnsi="宋体"/>
          <w:color w:val="auto"/>
          <w:sz w:val="24"/>
          <w:highlight w:val="none"/>
          <w:u w:val="single"/>
          <w:lang w:val="en-US" w:eastAsia="zh-CN"/>
        </w:rPr>
        <w:t>比选</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w:t>
      </w:r>
      <w:r>
        <w:rPr>
          <w:rFonts w:hint="eastAsia" w:ascii="宋体" w:hAnsi="宋体"/>
          <w:color w:val="auto"/>
          <w:spacing w:val="-2"/>
          <w:sz w:val="24"/>
          <w:highlight w:val="none"/>
          <w:u w:val="single"/>
        </w:rPr>
        <w:t>总价（含税）        元（大写：   ）；总价（不含税）     元（大写：   ）</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30日历天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val="en-US" w:eastAsia="zh-CN"/>
        </w:rPr>
        <w:t>满足甲方要求</w:t>
      </w:r>
      <w:r>
        <w:rPr>
          <w:rFonts w:hint="eastAsia" w:ascii="宋体" w:hAnsi="宋体"/>
          <w:color w:val="auto"/>
          <w:spacing w:val="-2"/>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hint="eastAsia" w:ascii="宋体" w:hAnsi="宋体"/>
          <w:color w:val="auto"/>
          <w:sz w:val="24"/>
          <w:highlight w:val="none"/>
        </w:rPr>
      </w:pPr>
      <w:r>
        <w:rPr>
          <w:rFonts w:hint="eastAsia" w:ascii="宋体" w:hAnsi="宋体"/>
          <w:color w:val="auto"/>
          <w:sz w:val="24"/>
          <w:highlight w:val="none"/>
        </w:rPr>
        <w:t xml:space="preserve">日 期：   </w:t>
      </w:r>
    </w:p>
    <w:p>
      <w:pPr>
        <w:tabs>
          <w:tab w:val="left" w:pos="1500"/>
        </w:tabs>
        <w:spacing w:line="360" w:lineRule="auto"/>
        <w:ind w:left="-376" w:leftChars="-714" w:hanging="1123" w:hangingChars="468"/>
        <w:jc w:val="center"/>
        <w:rPr>
          <w:rFonts w:hint="eastAsia" w:ascii="宋体" w:hAnsi="宋体"/>
          <w:color w:val="auto"/>
          <w:sz w:val="24"/>
          <w:highlight w:val="none"/>
        </w:rPr>
      </w:pPr>
    </w:p>
    <w:p>
      <w:pPr>
        <w:tabs>
          <w:tab w:val="left" w:pos="1500"/>
        </w:tabs>
        <w:spacing w:line="360" w:lineRule="auto"/>
        <w:ind w:left="-376" w:leftChars="-714" w:hanging="1123" w:hangingChars="468"/>
        <w:jc w:val="center"/>
        <w:rPr>
          <w:rFonts w:hint="eastAsia" w:ascii="宋体" w:hAnsi="宋体"/>
          <w:color w:val="auto"/>
          <w:sz w:val="24"/>
          <w:highlight w:val="none"/>
        </w:rPr>
      </w:pPr>
    </w:p>
    <w:p>
      <w:pPr>
        <w:tabs>
          <w:tab w:val="left" w:pos="1500"/>
        </w:tabs>
        <w:spacing w:line="360" w:lineRule="auto"/>
        <w:ind w:left="-376" w:leftChars="-714" w:hanging="1123" w:hangingChars="468"/>
        <w:jc w:val="center"/>
        <w:rPr>
          <w:rFonts w:hint="eastAsia" w:ascii="宋体" w:hAnsi="宋体"/>
          <w:color w:val="auto"/>
          <w:sz w:val="24"/>
          <w:highlight w:val="none"/>
        </w:rPr>
      </w:pPr>
    </w:p>
    <w:p>
      <w:pPr>
        <w:tabs>
          <w:tab w:val="left" w:pos="1500"/>
        </w:tabs>
        <w:spacing w:line="360" w:lineRule="auto"/>
        <w:ind w:left="-376" w:leftChars="-714" w:hanging="1123" w:hangingChars="468"/>
        <w:jc w:val="center"/>
        <w:rPr>
          <w:rFonts w:hint="eastAsia" w:ascii="宋体" w:hAnsi="宋体"/>
          <w:color w:val="auto"/>
          <w:sz w:val="24"/>
          <w:highlight w:val="none"/>
        </w:rPr>
      </w:pPr>
    </w:p>
    <w:p>
      <w:pPr>
        <w:tabs>
          <w:tab w:val="left" w:pos="1500"/>
        </w:tabs>
        <w:spacing w:line="360" w:lineRule="auto"/>
        <w:ind w:left="-376" w:leftChars="-714" w:hanging="1123" w:hangingChars="468"/>
        <w:jc w:val="center"/>
        <w:rPr>
          <w:rFonts w:hint="eastAsia" w:ascii="宋体" w:hAnsi="宋体"/>
          <w:color w:val="auto"/>
          <w:sz w:val="24"/>
          <w:highlight w:val="none"/>
        </w:rPr>
      </w:pPr>
    </w:p>
    <w:p>
      <w:pPr>
        <w:numPr>
          <w:ilvl w:val="0"/>
          <w:numId w:val="0"/>
        </w:numPr>
        <w:tabs>
          <w:tab w:val="left" w:pos="4293"/>
        </w:tabs>
        <w:spacing w:line="360" w:lineRule="auto"/>
        <w:ind w:leftChars="-1182"/>
        <w:jc w:val="center"/>
        <w:rPr>
          <w:rFonts w:hint="default" w:ascii="宋体" w:hAnsi="宋体"/>
          <w:color w:val="auto"/>
          <w:sz w:val="24"/>
          <w:highlight w:val="none"/>
          <w:lang w:val="en-US" w:eastAsia="zh-CN"/>
        </w:rPr>
      </w:pPr>
      <w:r>
        <w:rPr>
          <w:rFonts w:hint="eastAsia" w:ascii="宋体" w:hAnsi="宋体" w:eastAsia="宋体" w:cs="Times New Roman"/>
          <w:color w:val="auto"/>
          <w:sz w:val="32"/>
          <w:szCs w:val="32"/>
          <w:highlight w:val="none"/>
          <w:lang w:val="en-US" w:eastAsia="zh-CN"/>
        </w:rPr>
        <w:t xml:space="preserve">           报价清单</w:t>
      </w:r>
    </w:p>
    <w:p>
      <w:pPr>
        <w:widowControl w:val="0"/>
        <w:numPr>
          <w:ilvl w:val="0"/>
          <w:numId w:val="0"/>
        </w:numPr>
        <w:tabs>
          <w:tab w:val="left" w:pos="1500"/>
        </w:tabs>
        <w:spacing w:line="360" w:lineRule="auto"/>
        <w:jc w:val="both"/>
        <w:rPr>
          <w:rFonts w:hint="default" w:ascii="宋体" w:hAnsi="宋体"/>
          <w:color w:val="auto"/>
          <w:sz w:val="24"/>
          <w:highlight w:val="none"/>
          <w:lang w:val="en-US" w:eastAsia="zh-CN"/>
        </w:rPr>
      </w:pPr>
    </w:p>
    <w:tbl>
      <w:tblPr>
        <w:tblStyle w:val="5"/>
        <w:tblW w:w="8964" w:type="dxa"/>
        <w:tblInd w:w="96" w:type="dxa"/>
        <w:tblLayout w:type="fixed"/>
        <w:tblCellMar>
          <w:top w:w="0" w:type="dxa"/>
          <w:left w:w="108" w:type="dxa"/>
          <w:bottom w:w="0" w:type="dxa"/>
          <w:right w:w="108" w:type="dxa"/>
        </w:tblCellMar>
      </w:tblPr>
      <w:tblGrid>
        <w:gridCol w:w="555"/>
        <w:gridCol w:w="1144"/>
        <w:gridCol w:w="1886"/>
        <w:gridCol w:w="2126"/>
        <w:gridCol w:w="1276"/>
        <w:gridCol w:w="992"/>
        <w:gridCol w:w="985"/>
      </w:tblGrid>
      <w:tr>
        <w:tblPrEx>
          <w:tblCellMar>
            <w:top w:w="0" w:type="dxa"/>
            <w:left w:w="108" w:type="dxa"/>
            <w:bottom w:w="0" w:type="dxa"/>
            <w:right w:w="108" w:type="dxa"/>
          </w:tblCellMar>
        </w:tblPrEx>
        <w:trPr>
          <w:trHeight w:val="288" w:hRule="atLeast"/>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分类</w:t>
            </w: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w:t>
            </w:r>
          </w:p>
        </w:tc>
        <w:tc>
          <w:tcPr>
            <w:tcW w:w="21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规格</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含税</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单价（元）</w:t>
            </w:r>
          </w:p>
        </w:tc>
        <w:tc>
          <w:tcPr>
            <w:tcW w:w="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含税</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总价（元）</w:t>
            </w:r>
          </w:p>
        </w:tc>
      </w:tr>
      <w:tr>
        <w:tblPrEx>
          <w:tblCellMar>
            <w:top w:w="0" w:type="dxa"/>
            <w:left w:w="108" w:type="dxa"/>
            <w:bottom w:w="0" w:type="dxa"/>
            <w:right w:w="108" w:type="dxa"/>
          </w:tblCellMar>
        </w:tblPrEx>
        <w:trPr>
          <w:trHeight w:val="1872" w:hRule="atLeast"/>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印刷</w:t>
            </w:r>
          </w:p>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制作</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运输</w:t>
            </w:r>
          </w:p>
        </w:tc>
        <w:tc>
          <w:tcPr>
            <w:tcW w:w="18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2024四川高速冬季行车指南</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三折页</w:t>
            </w:r>
          </w:p>
          <w:p>
            <w:pPr>
              <w:jc w:val="center"/>
              <w:textAlignment w:val="center"/>
              <w:rPr>
                <w:rFonts w:hint="eastAsia" w:ascii="宋体" w:hAnsi="宋体" w:eastAsia="宋体" w:cs="宋体"/>
                <w:sz w:val="24"/>
                <w:szCs w:val="24"/>
              </w:rPr>
            </w:pPr>
            <w:r>
              <w:rPr>
                <w:rFonts w:hint="eastAsia" w:ascii="宋体" w:hAnsi="宋体" w:eastAsia="宋体" w:cs="宋体"/>
                <w:sz w:val="24"/>
                <w:szCs w:val="24"/>
              </w:rPr>
              <w:t>铜版纸250克</w:t>
            </w:r>
          </w:p>
          <w:p>
            <w:pPr>
              <w:jc w:val="center"/>
              <w:textAlignment w:val="center"/>
              <w:rPr>
                <w:rFonts w:hint="eastAsia" w:ascii="宋体" w:hAnsi="宋体" w:eastAsia="宋体" w:cs="宋体"/>
                <w:sz w:val="24"/>
                <w:szCs w:val="24"/>
              </w:rPr>
            </w:pPr>
            <w:r>
              <w:rPr>
                <w:rFonts w:hint="eastAsia" w:ascii="宋体" w:hAnsi="宋体" w:eastAsia="宋体" w:cs="宋体"/>
                <w:sz w:val="24"/>
                <w:szCs w:val="24"/>
              </w:rPr>
              <w:t>380X210MM</w:t>
            </w:r>
          </w:p>
          <w:p>
            <w:pPr>
              <w:jc w:val="center"/>
              <w:textAlignment w:val="center"/>
              <w:rPr>
                <w:rFonts w:hint="eastAsia" w:ascii="宋体" w:hAnsi="宋体" w:eastAsia="宋体" w:cs="宋体"/>
                <w:sz w:val="24"/>
                <w:szCs w:val="24"/>
              </w:rPr>
            </w:pPr>
            <w:r>
              <w:rPr>
                <w:rFonts w:hint="eastAsia" w:ascii="宋体" w:hAnsi="宋体" w:eastAsia="宋体" w:cs="宋体"/>
                <w:sz w:val="24"/>
                <w:szCs w:val="24"/>
              </w:rPr>
              <w:t>全彩印刷</w:t>
            </w:r>
          </w:p>
          <w:p>
            <w:pPr>
              <w:jc w:val="center"/>
              <w:textAlignment w:val="center"/>
              <w:rPr>
                <w:rFonts w:hint="eastAsia" w:ascii="宋体" w:hAnsi="宋体" w:eastAsia="宋体" w:cs="宋体"/>
                <w:sz w:val="24"/>
                <w:szCs w:val="24"/>
              </w:rPr>
            </w:pPr>
            <w:r>
              <w:rPr>
                <w:rFonts w:hint="eastAsia" w:ascii="宋体" w:hAnsi="宋体" w:eastAsia="宋体" w:cs="宋体"/>
                <w:sz w:val="24"/>
                <w:szCs w:val="24"/>
              </w:rPr>
              <w:t>哑膜[双面]</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压痕</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340000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p>
        </w:tc>
        <w:tc>
          <w:tcPr>
            <w:tcW w:w="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52" w:hRule="atLeast"/>
        </w:trPr>
        <w:tc>
          <w:tcPr>
            <w:tcW w:w="571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合计（含增值税13%）</w:t>
            </w:r>
          </w:p>
        </w:tc>
        <w:tc>
          <w:tcPr>
            <w:tcW w:w="32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元</w:t>
            </w:r>
          </w:p>
        </w:tc>
      </w:tr>
    </w:tbl>
    <w:p>
      <w:pPr>
        <w:widowControl w:val="0"/>
        <w:numPr>
          <w:ilvl w:val="0"/>
          <w:numId w:val="0"/>
        </w:numPr>
        <w:tabs>
          <w:tab w:val="left" w:pos="1500"/>
        </w:tabs>
        <w:spacing w:line="360" w:lineRule="auto"/>
        <w:jc w:val="center"/>
        <w:rPr>
          <w:rFonts w:hint="default" w:ascii="宋体" w:hAnsi="宋体"/>
          <w:color w:val="auto"/>
          <w:sz w:val="24"/>
          <w:highlight w:val="none"/>
          <w:lang w:val="en-US" w:eastAsia="zh-CN"/>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pPr>
              <w:spacing w:line="360" w:lineRule="auto"/>
              <w:jc w:val="center"/>
              <w:rPr>
                <w:rFonts w:hint="eastAsia" w:ascii="宋体" w:hAnsi="宋体"/>
                <w:color w:val="auto"/>
                <w:sz w:val="24"/>
                <w:highlight w:val="none"/>
              </w:rPr>
            </w:pPr>
          </w:p>
        </w:tc>
        <w:tc>
          <w:tcPr>
            <w:tcW w:w="180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pPr>
        <w:rPr>
          <w:rFonts w:ascii="宋体" w:hAnsi="宋体"/>
          <w:color w:val="auto"/>
          <w:sz w:val="24"/>
          <w:highlight w:val="none"/>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bl>
    <w:p>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w:t>
      </w:r>
      <w:r>
        <w:rPr>
          <w:rFonts w:hint="eastAsia" w:ascii="宋体" w:hAnsi="宋体" w:cs="仿宋_GB2312"/>
          <w:color w:val="auto"/>
          <w:sz w:val="24"/>
          <w:highlight w:val="none"/>
        </w:rPr>
        <w:t>。如不实，属于弄虚作假，取消中选资格。</w:t>
      </w:r>
    </w:p>
    <w:p>
      <w:pPr>
        <w:rPr>
          <w:rFonts w:ascii="宋体" w:hAnsi="宋体"/>
          <w:color w:val="auto"/>
          <w:sz w:val="24"/>
          <w:highlight w:val="none"/>
        </w:rPr>
      </w:pPr>
    </w:p>
    <w:p>
      <w:pPr>
        <w:ind w:left="5920"/>
        <w:rPr>
          <w:rFonts w:hint="eastAsia" w:ascii="宋体" w:hAnsi="宋体"/>
          <w:color w:val="auto"/>
          <w:sz w:val="24"/>
          <w:highlight w:val="none"/>
        </w:rPr>
      </w:pP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pPr>
        <w:rPr>
          <w:rFonts w:ascii="宋体" w:hAnsi="宋体"/>
          <w:color w:val="auto"/>
          <w:sz w:val="24"/>
          <w:highlight w:val="none"/>
        </w:rPr>
        <w:sectPr>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pStyle w:val="2"/>
        <w:numPr>
          <w:ilvl w:val="0"/>
          <w:numId w:val="0"/>
        </w:numPr>
        <w:spacing w:line="270" w:lineRule="auto"/>
        <w:ind w:leftChars="0"/>
        <w:jc w:val="center"/>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pPr>
        <w:pStyle w:val="8"/>
        <w:rPr>
          <w:color w:val="auto"/>
          <w:highlight w:val="none"/>
        </w:rPr>
      </w:pPr>
      <w:r>
        <w:rPr>
          <w:rFonts w:hint="eastAsia"/>
          <w:color w:val="auto"/>
          <w:highlight w:val="none"/>
        </w:rPr>
        <w:t>1、信誉承诺</w:t>
      </w:r>
    </w:p>
    <w:p>
      <w:pPr>
        <w:pStyle w:val="8"/>
        <w:rPr>
          <w:color w:val="auto"/>
          <w:highlight w:val="none"/>
        </w:rPr>
      </w:pPr>
    </w:p>
    <w:p>
      <w:pPr>
        <w:pStyle w:val="7"/>
        <w:spacing w:line="360" w:lineRule="auto"/>
        <w:ind w:firstLine="480"/>
        <w:jc w:val="center"/>
        <w:rPr>
          <w:color w:val="auto"/>
          <w:sz w:val="24"/>
          <w:szCs w:val="24"/>
          <w:highlight w:val="none"/>
        </w:rPr>
      </w:pPr>
    </w:p>
    <w:p>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7"/>
        <w:spacing w:line="360" w:lineRule="auto"/>
        <w:ind w:firstLine="480"/>
        <w:jc w:val="center"/>
        <w:rPr>
          <w:color w:val="auto"/>
          <w:sz w:val="24"/>
          <w:szCs w:val="24"/>
          <w:highlight w:val="none"/>
        </w:rPr>
      </w:pPr>
    </w:p>
    <w:p>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未处于财产被接管、冻结、破产状态；无不良行为记录、没有处于比选申请禁入期内；</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8"/>
        <w:rPr>
          <w:rFonts w:ascii="等线" w:hAnsi="等线"/>
          <w:color w:val="auto"/>
          <w:szCs w:val="21"/>
          <w:highlight w:val="none"/>
        </w:rPr>
      </w:pPr>
    </w:p>
    <w:p>
      <w:pPr>
        <w:pStyle w:val="8"/>
        <w:rPr>
          <w:rFonts w:ascii="等线" w:hAnsi="等线"/>
          <w:color w:val="auto"/>
          <w:szCs w:val="21"/>
          <w:highlight w:val="none"/>
        </w:rPr>
      </w:pPr>
    </w:p>
    <w:p>
      <w:pPr>
        <w:pStyle w:val="8"/>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ascii="仿宋" w:hAnsi="仿宋" w:eastAsia="仿宋"/>
          <w:color w:val="auto"/>
          <w:sz w:val="32"/>
          <w:szCs w:val="32"/>
          <w:highlight w:val="none"/>
        </w:rPr>
      </w:pPr>
      <w:r>
        <w:rPr>
          <w:rFonts w:hint="eastAsia" w:ascii="宋体" w:hAnsi="宋体" w:cs="仿宋_GB2312"/>
          <w:color w:val="auto"/>
          <w:sz w:val="24"/>
          <w:highlight w:val="none"/>
        </w:rPr>
        <w:t>注：此处</w:t>
      </w:r>
      <w:r>
        <w:rPr>
          <w:rFonts w:hint="eastAsia" w:ascii="宋体" w:hAnsi="宋体" w:cs="仿宋_GB2312"/>
          <w:color w:val="auto"/>
          <w:sz w:val="24"/>
          <w:highlight w:val="none"/>
          <w:lang w:val="en-US" w:eastAsia="zh-CN"/>
        </w:rPr>
        <w:t>应附（2）（3）条要求的网站截图证明；</w:t>
      </w:r>
      <w:r>
        <w:rPr>
          <w:rFonts w:hint="eastAsia" w:ascii="宋体" w:hAnsi="宋体" w:cs="仿宋_GB2312"/>
          <w:color w:val="auto"/>
          <w:sz w:val="24"/>
          <w:highlight w:val="none"/>
        </w:rPr>
        <w:t>还可附比选申请人认为需要提交的资料</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若“无”可不提供。</w:t>
      </w:r>
      <w:r>
        <w:rPr>
          <w:rFonts w:hint="eastAsia" w:hAnsi="宋体"/>
          <w:color w:val="auto"/>
          <w:szCs w:val="21"/>
          <w:highlight w:val="none"/>
          <w:u w:val="single"/>
        </w:rPr>
        <w:t xml:space="preserve">          </w:t>
      </w:r>
    </w:p>
    <w:p>
      <w:bookmarkStart w:id="2" w:name="_GoBack"/>
      <w:bookmarkEnd w:id="2"/>
    </w:p>
    <w:sectPr>
      <w:footerReference r:id="rId8" w:type="first"/>
      <w:headerReference r:id="rId6" w:type="default"/>
      <w:footerReference r:id="rId7" w:type="default"/>
      <w:type w:val="continuous"/>
      <w:pgSz w:w="11906" w:h="16838"/>
      <w:pgMar w:top="1440" w:right="1440" w:bottom="1440" w:left="180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29</w:t>
    </w:r>
    <w:r>
      <w:fldChar w:fldCharType="end"/>
    </w:r>
  </w:p>
  <w:p>
    <w:pPr>
      <w:pStyle w:val="4"/>
      <w:jc w:val="center"/>
      <w:rPr>
        <w:rFonts w:hint="eastAsia"/>
      </w:rPr>
    </w:pPr>
  </w:p>
  <w:p>
    <w:pPr>
      <w:pStyle w:val="4"/>
      <w:jc w:val="center"/>
      <w:rPr>
        <w:rFonts w:hint="eastAsia"/>
      </w:rPr>
    </w:pPr>
  </w:p>
  <w:p>
    <w:pPr>
      <w:pStyle w:val="4"/>
      <w:jc w:val="center"/>
      <w:rPr>
        <w:rFonts w:hint="eastAsia"/>
      </w:rPr>
    </w:pPr>
  </w:p>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2</w:t>
    </w:r>
    <w:r>
      <w:fldChar w:fldCharType="end"/>
    </w:r>
  </w:p>
  <w:p>
    <w:pPr>
      <w:pStyle w:val="4"/>
      <w:jc w:val="center"/>
      <w:rPr>
        <w:rFonts w:hint="eastAsia"/>
      </w:rPr>
    </w:pPr>
  </w:p>
  <w:p>
    <w:pPr>
      <w:pStyle w:val="4"/>
      <w:jc w:val="center"/>
      <w:rPr>
        <w:rFonts w:hint="eastAsia"/>
      </w:rPr>
    </w:pPr>
  </w:p>
  <w:p>
    <w:pPr>
      <w:pStyle w:val="4"/>
      <w:jc w:val="center"/>
      <w:rPr>
        <w:rFonts w:hint="eastAsia"/>
      </w:rPr>
    </w:pPr>
  </w:p>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75F92"/>
    <w:rsid w:val="14A75F92"/>
    <w:rsid w:val="2FAE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2024-11-21T07:55:00Z</dcterms:created>
  <dc:creator>Administrator</dc:creator>
  <cp:lastModifiedBy>Administrator</cp:lastModifiedBy>
  <dcterms:modified xsi:type="dcterms:W3CDTF">2024-11-21T07:56:03Z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