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pPr>
        <w:jc w:val="center"/>
        <w:rPr>
          <w:rFonts w:hint="eastAsia" w:ascii="仿宋" w:hAnsi="仿宋" w:eastAsia="仿宋"/>
          <w:color w:val="auto"/>
          <w:sz w:val="44"/>
          <w:szCs w:val="44"/>
          <w:highlight w:val="none"/>
          <w:lang w:eastAsia="zh-CN"/>
        </w:rPr>
      </w:pPr>
    </w:p>
    <w:p>
      <w:pPr>
        <w:rPr>
          <w:color w:val="auto"/>
          <w:highlight w:val="none"/>
        </w:rPr>
      </w:pPr>
      <w:r>
        <w:rPr>
          <w:rFonts w:hint="eastAsia" w:ascii="仿宋" w:hAnsi="仿宋" w:eastAsia="仿宋"/>
          <w:color w:val="auto"/>
          <w:sz w:val="44"/>
          <w:szCs w:val="44"/>
          <w:highlight w:val="none"/>
          <w:lang w:eastAsia="zh-CN"/>
        </w:rPr>
        <w:t>四川高速大厦办公区域维修工程劳务分包</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四川高速大厦办公区域维修工程劳务分包</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四川高速大厦办公区域维修工程劳务分包</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olor w:val="auto"/>
          <w:sz w:val="24"/>
          <w:highlight w:val="none"/>
        </w:rPr>
        <w:t xml:space="preserve">日 期：  </w:t>
      </w:r>
    </w:p>
    <w:p>
      <w:pPr>
        <w:tabs>
          <w:tab w:val="left" w:pos="1500"/>
        </w:tabs>
        <w:spacing w:line="360" w:lineRule="auto"/>
        <w:ind w:left="-292" w:leftChars="-139" w:firstLine="652" w:firstLineChars="232"/>
        <w:jc w:val="both"/>
        <w:rPr>
          <w:rFonts w:hint="eastAsia" w:ascii="宋体" w:hAnsi="宋体"/>
          <w:color w:val="auto"/>
          <w:sz w:val="24"/>
          <w:highlight w:val="none"/>
          <w:lang w:val="en-US" w:eastAsia="zh-CN"/>
        </w:rPr>
      </w:pPr>
      <w:r>
        <w:rPr>
          <w:rFonts w:hint="eastAsia" w:ascii="宋体" w:hAnsi="宋体"/>
          <w:b/>
          <w:bCs/>
          <w:color w:val="auto"/>
          <w:sz w:val="28"/>
          <w:szCs w:val="28"/>
          <w:highlight w:val="none"/>
          <w:lang w:val="en-US" w:eastAsia="zh-CN"/>
        </w:rPr>
        <w:t>报价清单</w:t>
      </w:r>
      <w:r>
        <w:rPr>
          <w:rFonts w:hint="eastAsia" w:ascii="宋体" w:hAnsi="宋体"/>
          <w:color w:val="auto"/>
          <w:sz w:val="24"/>
          <w:highlight w:val="none"/>
          <w:lang w:val="en-US" w:eastAsia="zh-CN"/>
        </w:rPr>
        <w:t>：</w:t>
      </w:r>
    </w:p>
    <w:tbl>
      <w:tblPr>
        <w:tblStyle w:val="6"/>
        <w:tblW w:w="13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8"/>
        <w:gridCol w:w="7072"/>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3080"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48"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工程名称：</w:t>
            </w:r>
          </w:p>
        </w:tc>
        <w:tc>
          <w:tcPr>
            <w:tcW w:w="7072"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四川高速大厦办公区域维修工程劳务分包</w:t>
            </w:r>
          </w:p>
        </w:tc>
        <w:tc>
          <w:tcPr>
            <w:tcW w:w="436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第1页 共1页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13080" w:type="dxa"/>
            <w:gridSpan w:val="3"/>
            <w:tcBorders>
              <w:top w:val="nil"/>
              <w:left w:val="single" w:color="000000" w:sz="4" w:space="0"/>
              <w:bottom w:val="nil"/>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工程概况 四川高速大厦办公区域维修工程劳务分包</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建设规模：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工程特征：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计划工期：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施工现场实际情况：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自然地理条件：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环境保护要求：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2.工程招标和专业工程发包范围：工程图纸范围内的全部装饰装修工程、安装工程，不含主材及设备。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3.工程量清单编制依据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4.工程质量、材料、施工等的特殊要求：满足合同中有关工程质量的约定，以及国家现行《建筑装饰装修工程质量验收规范》、《建筑工程施工及验收规范》的规定。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5.其他需要说明的问题：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不含税综合单价包含为完成合同约定范围全部工作内容的所需的人工费、机械费、辅材费、措施费、管理费、材料二次或多次搬运费、利润等全部费用，任何情况下均不作调整。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投标人投标报价不得超过招标控制价，且每单项工程量清单不含税综合单价不得超过招标控制价中的对应单价，否则做废标处理。</w:t>
            </w:r>
          </w:p>
        </w:tc>
      </w:tr>
    </w:tbl>
    <w:p>
      <w:pPr>
        <w:rPr>
          <w:highlight w:val="none"/>
        </w:rPr>
      </w:pPr>
      <w:r>
        <w:rPr>
          <w:highlight w:val="none"/>
        </w:rPr>
        <w:br w:type="page"/>
      </w:r>
    </w:p>
    <w:tbl>
      <w:tblPr>
        <w:tblStyle w:val="6"/>
        <w:tblW w:w="13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2"/>
        <w:gridCol w:w="4288"/>
        <w:gridCol w:w="2452"/>
        <w:gridCol w:w="2452"/>
        <w:gridCol w:w="2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384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92"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p>
        </w:tc>
        <w:tc>
          <w:tcPr>
            <w:tcW w:w="11648"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四川高速大厦办公区域维修工程劳务分包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1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2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单项工程名称 </w:t>
            </w:r>
          </w:p>
        </w:tc>
        <w:tc>
          <w:tcPr>
            <w:tcW w:w="73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4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不含税劳务费（元）</w:t>
            </w:r>
          </w:p>
        </w:tc>
        <w:tc>
          <w:tcPr>
            <w:tcW w:w="2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税金（元）</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单项工程1</w:t>
            </w:r>
          </w:p>
        </w:tc>
        <w:tc>
          <w:tcPr>
            <w:tcW w:w="24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外墙及室外工程</w:t>
            </w:r>
          </w:p>
        </w:tc>
        <w:tc>
          <w:tcPr>
            <w:tcW w:w="2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pPr>
        <w:rPr>
          <w:highlight w:val="none"/>
        </w:rPr>
      </w:pPr>
      <w:r>
        <w:rPr>
          <w:highlight w:val="none"/>
        </w:rPr>
        <w:br w:type="page"/>
      </w:r>
    </w:p>
    <w:tbl>
      <w:tblPr>
        <w:tblStyle w:val="6"/>
        <w:tblW w:w="143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3956"/>
        <w:gridCol w:w="4564"/>
        <w:gridCol w:w="813"/>
        <w:gridCol w:w="656"/>
        <w:gridCol w:w="1002"/>
        <w:gridCol w:w="1976"/>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372"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8"/>
                <w:szCs w:val="28"/>
                <w:highlight w:val="none"/>
                <w:u w:val="none"/>
              </w:rPr>
            </w:pPr>
            <w:r>
              <w:rPr>
                <w:rFonts w:hint="eastAsia" w:ascii="等线" w:hAnsi="等线" w:eastAsia="等线" w:cs="等线"/>
                <w:b/>
                <w:bCs/>
                <w:i w:val="0"/>
                <w:iCs w:val="0"/>
                <w:color w:val="000000"/>
                <w:kern w:val="0"/>
                <w:sz w:val="28"/>
                <w:szCs w:val="28"/>
                <w:highlight w:val="none"/>
                <w:u w:val="none"/>
                <w:lang w:val="en-US" w:eastAsia="zh-CN" w:bidi="ar"/>
              </w:rPr>
              <w:t>四川高速大厦办公区域维修工程劳务分包报价清单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工程名称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特征描述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单位</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不含税综合单价（元）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不含税合价（元）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玻璃悬窗更换型材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上悬窗五金配件四连杆</w:t>
            </w:r>
          </w:p>
        </w:tc>
        <w:tc>
          <w:tcPr>
            <w:tcW w:w="4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上悬窗五金配件（四连杆2个）含拆除原有撑杆</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157</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铝合金单点执手</w:t>
            </w:r>
          </w:p>
        </w:tc>
        <w:tc>
          <w:tcPr>
            <w:tcW w:w="4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单点执手更换</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735</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铝合金风撑</w:t>
            </w:r>
          </w:p>
        </w:tc>
        <w:tc>
          <w:tcPr>
            <w:tcW w:w="4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铝合金风撑</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735</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吊装费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安全绳吊装费（钢绳安装及吊装人工费）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高空作业措施费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高空作业临时围挡及措施费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屋顶维修工程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拆除屋面玻璃棚原有耐候胶及装饰盖板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清理原玻璃屋面硅酮耐候胶及铝合金装饰条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穹顶玻璃打胶（硅酮耐候胶）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铝合金装饰条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铝合金装饰条安装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安全施工措施费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临时安全措施费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建渣清理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建渣清理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3F外墙下檐口石材更换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檐口石材拆除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保护性拆除下檐口干挂石材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檐口4.0mm铝单板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外架措施费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双排脚手架外架及防护网搭建费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拆除石材建渣外运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拆除石材建渣外运及装车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光纤预埋管道及桥架改造工程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地面开槽（宽0.5m，深0.5m*15m）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人工沥青路面开槽（地面混凝土200mm厚）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φ100波纹管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检修井砖砌0.6m*0.6m*0.5m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检修井砖砌0.6m*0.6m*0.5m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预制检修井盖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预制检修井盖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混凝土回填</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混凝土现场搅拌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桥架100*200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辅料、安装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桥架三角架支撑角钢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定制50角钢三脚架+安装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石材开孔不锈钢补洞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石材开孔不锈钢补洞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石材开槽预埋角钢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石材开槽预埋角钢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外架措施费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双层脚手架搭拆费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弃土外运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弃土外运及装车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地下车库入口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拆除原有雨棚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原雨棚拆除，建渣装袋（建渣外运另计）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#304不锈钢水槽（靠墙）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#304不锈钢水槽（靠墙）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耐力板安装人工费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焊接安装费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脚手架措施费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脚手架搭拆费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建渣废品清卫生运费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建渣废品清卫生运费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地下车库出口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拆除原有雨棚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原雨棚拆除，建渣装袋（建渣外运另计）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#304不锈钢水槽（靠墙）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#304不锈钢水槽（靠墙）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耐力板安装人工费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焊接安装费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脚手架措施费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脚手架搭拆费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建渣废品清卫生运费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建渣废品清卫生运费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日常保洁及完工保洁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14楼檐口石材维修工程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其他外墙已损坏石材拆除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女儿墙外石材拆除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高空作业拆除外墙石材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铝单板外墙包梁（高空）厚度3.0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女儿墙外铝单板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外墙石材更换玻璃屋顶保护</w:t>
            </w:r>
          </w:p>
        </w:tc>
        <w:tc>
          <w:tcPr>
            <w:tcW w:w="4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防火木工板基层，基层防火布等措施人工费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外墙石材更换脚手架及钢管架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钢管架搭设及脚手架现场搭设及拆除费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女儿墙处双排脚手架搭设及租赁</w:t>
            </w:r>
          </w:p>
        </w:tc>
        <w:tc>
          <w:tcPr>
            <w:tcW w:w="4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女儿墙处双排脚手架搭设及租赁（含完工拆卸）14楼窗户平台外挑搭设双排脚手架至15楼屋面女儿墙处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现场保洁及日常卫生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现场保洁及日常卫生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拆除石材建渣外运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拆除石材建渣外运及装车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八</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不含税合计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000000"/>
                <w:sz w:val="22"/>
                <w:szCs w:val="22"/>
                <w:highlight w:val="none"/>
                <w:u w:val="none"/>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2"/>
                <w:szCs w:val="22"/>
                <w:highlight w:val="none"/>
                <w:u w:val="none"/>
              </w:rPr>
            </w:pPr>
          </w:p>
        </w:tc>
      </w:tr>
    </w:tbl>
    <w:p>
      <w:pPr>
        <w:rPr>
          <w:highlight w:val="none"/>
        </w:rPr>
      </w:pPr>
    </w:p>
    <w:p>
      <w:pPr>
        <w:pStyle w:val="5"/>
        <w:rPr>
          <w:rFonts w:hint="default"/>
          <w:highlight w:val="none"/>
          <w:lang w:val="en-US" w:eastAsia="zh-CN"/>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jc w:val="both"/>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9"/>
        <w:rPr>
          <w:color w:val="auto"/>
          <w:highlight w:val="none"/>
        </w:rPr>
      </w:pPr>
      <w:r>
        <w:rPr>
          <w:rFonts w:hint="eastAsia"/>
          <w:color w:val="auto"/>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9"/>
        <w:rPr>
          <w:rFonts w:ascii="等线" w:hAnsi="等线"/>
          <w:color w:val="auto"/>
          <w:szCs w:val="21"/>
          <w:highlight w:val="none"/>
        </w:rPr>
      </w:pPr>
    </w:p>
    <w:p>
      <w:pPr>
        <w:pStyle w:val="9"/>
        <w:rPr>
          <w:rFonts w:ascii="等线" w:hAnsi="等线"/>
          <w:color w:val="auto"/>
          <w:szCs w:val="21"/>
          <w:highlight w:val="none"/>
        </w:rPr>
      </w:pPr>
    </w:p>
    <w:p>
      <w:pPr>
        <w:pStyle w:val="9"/>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4"/>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pPr>
        <w:tabs>
          <w:tab w:val="left" w:pos="1500"/>
        </w:tabs>
        <w:spacing w:line="360" w:lineRule="auto"/>
        <w:jc w:val="left"/>
      </w:pPr>
      <w:bookmarkStart w:id="2" w:name="_GoBack"/>
      <w:bookmarkEnd w:id="2"/>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A4A7"/>
    <w:multiLevelType w:val="singleLevel"/>
    <w:tmpl w:val="0E1BA4A7"/>
    <w:lvl w:ilvl="0" w:tentative="0">
      <w:start w:val="1"/>
      <w:numFmt w:val="decimal"/>
      <w:lvlText w:val="%1."/>
      <w:lvlJc w:val="left"/>
      <w:pPr>
        <w:tabs>
          <w:tab w:val="left" w:pos="312"/>
        </w:tabs>
      </w:pPr>
    </w:lvl>
  </w:abstractNum>
  <w:abstractNum w:abstractNumId="1">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21F1A5"/>
    <w:multiLevelType w:val="singleLevel"/>
    <w:tmpl w:val="4821F1A5"/>
    <w:lvl w:ilvl="0" w:tentative="0">
      <w:start w:val="2"/>
      <w:numFmt w:val="decimal"/>
      <w:suff w:val="nothing"/>
      <w:lvlText w:val="%1、"/>
      <w:lvlJc w:val="left"/>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839BE"/>
    <w:rsid w:val="148839BE"/>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1"/>
    <w:next w:val="1"/>
    <w:uiPriority w:val="0"/>
    <w:pPr>
      <w:spacing w:after="120" w:line="240" w:lineRule="auto"/>
      <w:ind w:left="420" w:leftChars="200" w:firstLine="420" w:firstLineChars="200"/>
    </w:pPr>
    <w:rPr>
      <w:rFonts w:ascii="Times New Roman" w:hAnsi="Times New Roman"/>
      <w:sz w:val="21"/>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2024-12-10T04:51:00Z</dcterms:created>
  <dc:creator>Administrator</dc:creator>
  <cp:lastModifiedBy>Administrator</cp:lastModifiedBy>
  <dcterms:modified xsi:type="dcterms:W3CDTF">2024-12-10T04:52:44Z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