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bookmarkStart w:id="0" w:name="OLE_LINK5"/>
    </w:p>
    <w:p>
      <w:pPr>
        <w:jc w:val="center"/>
        <w:rPr>
          <w:rFonts w:hint="eastAsia"/>
          <w:color w:val="auto"/>
          <w:highlight w:val="none"/>
        </w:rPr>
      </w:pPr>
      <w:r>
        <w:rPr>
          <w:rFonts w:hint="eastAsia" w:ascii="仿宋" w:hAnsi="仿宋" w:eastAsia="仿宋"/>
          <w:color w:val="auto"/>
          <w:sz w:val="44"/>
          <w:szCs w:val="44"/>
          <w:highlight w:val="none"/>
          <w:lang w:eastAsia="zh-CN"/>
        </w:rPr>
        <w:t>天眉乐公司职工小家装修改造项目材料及设备采购（第二次）</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6"/>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6"/>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6"/>
        <w:ind w:firstLine="0"/>
        <w:jc w:val="center"/>
        <w:rPr>
          <w:rFonts w:hint="eastAsia" w:ascii="宋体" w:hAnsi="宋体"/>
          <w:color w:val="auto"/>
          <w:sz w:val="30"/>
          <w:szCs w:val="30"/>
          <w:highlight w:val="none"/>
        </w:rPr>
      </w:pPr>
    </w:p>
    <w:p>
      <w:pPr>
        <w:pStyle w:val="6"/>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天眉乐公司职工小家装修改造项目材料及设备采购（第二次）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天眉乐公司职工小家装修改造项目材料及设备采购（第二次）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3</w:t>
      </w:r>
      <w:r>
        <w:rPr>
          <w:rFonts w:hint="eastAsia" w:ascii="宋体" w:hAnsi="宋体" w:eastAsia="宋体" w:cs="Times New Roman"/>
          <w:color w:val="auto"/>
          <w:sz w:val="24"/>
          <w:highlight w:val="none"/>
          <w:u w:val="single"/>
          <w:lang w:val="en-US" w:eastAsia="zh-CN"/>
        </w:rPr>
        <w:t>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w:t>
      </w:r>
      <w:bookmarkStart w:id="3" w:name="_GoBack"/>
      <w:bookmarkEnd w:id="3"/>
      <w:r>
        <w:rPr>
          <w:rFonts w:hint="eastAsia" w:ascii="宋体" w:hAnsi="宋体"/>
          <w:color w:val="auto"/>
          <w:spacing w:val="-2"/>
          <w:sz w:val="24"/>
          <w:highlight w:val="none"/>
          <w:lang w:val="en-US" w:eastAsia="zh-CN"/>
        </w:rPr>
        <w:t>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5"/>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9"/>
        <w:tblW w:w="14535" w:type="dxa"/>
        <w:tblInd w:w="0" w:type="dxa"/>
        <w:tblLayout w:type="fixed"/>
        <w:tblCellMar>
          <w:top w:w="0" w:type="dxa"/>
          <w:left w:w="0" w:type="dxa"/>
          <w:bottom w:w="0" w:type="dxa"/>
          <w:right w:w="0" w:type="dxa"/>
        </w:tblCellMar>
      </w:tblPr>
      <w:tblGrid>
        <w:gridCol w:w="1305"/>
        <w:gridCol w:w="8385"/>
        <w:gridCol w:w="4845"/>
      </w:tblGrid>
      <w:tr>
        <w:tblPrEx>
          <w:tblLayout w:type="fixed"/>
          <w:tblCellMar>
            <w:top w:w="0" w:type="dxa"/>
            <w:left w:w="0" w:type="dxa"/>
            <w:bottom w:w="0" w:type="dxa"/>
            <w:right w:w="0" w:type="dxa"/>
          </w:tblCellMar>
        </w:tblPrEx>
        <w:trPr>
          <w:trHeight w:val="675" w:hRule="atLeast"/>
        </w:trPr>
        <w:tc>
          <w:tcPr>
            <w:tcW w:w="14535"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 说 明</w:t>
            </w:r>
          </w:p>
        </w:tc>
      </w:tr>
      <w:tr>
        <w:tblPrEx>
          <w:tblLayout w:type="fixed"/>
          <w:tblCellMar>
            <w:top w:w="0" w:type="dxa"/>
            <w:left w:w="0" w:type="dxa"/>
            <w:bottom w:w="0" w:type="dxa"/>
            <w:right w:w="0" w:type="dxa"/>
          </w:tblCellMar>
        </w:tblPrEx>
        <w:trPr>
          <w:trHeight w:val="585" w:hRule="atLeast"/>
        </w:trPr>
        <w:tc>
          <w:tcPr>
            <w:tcW w:w="130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w:t>
            </w:r>
          </w:p>
        </w:tc>
        <w:tc>
          <w:tcPr>
            <w:tcW w:w="838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天眉乐公司职工小家装修改造项目材料及设备采购</w:t>
            </w:r>
          </w:p>
        </w:tc>
        <w:tc>
          <w:tcPr>
            <w:tcW w:w="484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第1页 共1页 </w:t>
            </w:r>
          </w:p>
        </w:tc>
      </w:tr>
      <w:tr>
        <w:tblPrEx>
          <w:tblLayout w:type="fixed"/>
          <w:tblCellMar>
            <w:top w:w="0" w:type="dxa"/>
            <w:left w:w="0" w:type="dxa"/>
            <w:bottom w:w="0" w:type="dxa"/>
            <w:right w:w="0" w:type="dxa"/>
          </w:tblCellMar>
        </w:tblPrEx>
        <w:trPr>
          <w:trHeight w:val="4120" w:hRule="atLeast"/>
        </w:trPr>
        <w:tc>
          <w:tcPr>
            <w:tcW w:w="145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1.工程概况：天眉乐公司职工小家装修改造项目材料及设备采购。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建设规模：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工程特征：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计划工期：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施工现场实际情况：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自然地理条件：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环境保护要求：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3.工程量清单编制依据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5.其他需要说明的问题：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不含税材料价格包含材料原价、运杂费、运输损耗费、采购及保管费、检验试验费、材料包装费，货到现场的卸货费以及正常范围内的损耗。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投标人投标报价不得超过招标控制价，且每单项工程量清单不含税综合单价不得超过招标控制价中的对应单价，否则做废标处理。</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9"/>
        <w:tblW w:w="9837" w:type="dxa"/>
        <w:tblInd w:w="0" w:type="dxa"/>
        <w:tblLayout w:type="fixed"/>
        <w:tblCellMar>
          <w:top w:w="0" w:type="dxa"/>
          <w:left w:w="0" w:type="dxa"/>
          <w:bottom w:w="0" w:type="dxa"/>
          <w:right w:w="0" w:type="dxa"/>
        </w:tblCellMar>
      </w:tblPr>
      <w:tblGrid>
        <w:gridCol w:w="1188"/>
        <w:gridCol w:w="2769"/>
        <w:gridCol w:w="2265"/>
        <w:gridCol w:w="1590"/>
        <w:gridCol w:w="2025"/>
      </w:tblGrid>
      <w:tr>
        <w:tblPrEx>
          <w:tblLayout w:type="fixed"/>
          <w:tblCellMar>
            <w:top w:w="0" w:type="dxa"/>
            <w:left w:w="0" w:type="dxa"/>
            <w:bottom w:w="0" w:type="dxa"/>
            <w:right w:w="0" w:type="dxa"/>
          </w:tblCellMar>
        </w:tblPrEx>
        <w:trPr>
          <w:trHeight w:val="520" w:hRule="atLeast"/>
        </w:trPr>
        <w:tc>
          <w:tcPr>
            <w:tcW w:w="9837"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建设项目投标报价汇总表</w:t>
            </w:r>
          </w:p>
        </w:tc>
      </w:tr>
      <w:tr>
        <w:tblPrEx>
          <w:tblLayout w:type="fixed"/>
          <w:tblCellMar>
            <w:top w:w="0" w:type="dxa"/>
            <w:left w:w="0" w:type="dxa"/>
            <w:bottom w:w="0" w:type="dxa"/>
            <w:right w:w="0" w:type="dxa"/>
          </w:tblCellMar>
        </w:tblPrEx>
        <w:trPr>
          <w:trHeight w:val="525" w:hRule="atLeast"/>
        </w:trPr>
        <w:tc>
          <w:tcPr>
            <w:tcW w:w="118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w:t>
            </w:r>
          </w:p>
        </w:tc>
        <w:tc>
          <w:tcPr>
            <w:tcW w:w="8649"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天眉乐公司职工小家装修改造项目材料及设备采购</w:t>
            </w:r>
          </w:p>
        </w:tc>
      </w:tr>
      <w:tr>
        <w:tblPrEx>
          <w:tblLayout w:type="fixed"/>
          <w:tblCellMar>
            <w:top w:w="0" w:type="dxa"/>
            <w:left w:w="0" w:type="dxa"/>
            <w:bottom w:w="0" w:type="dxa"/>
            <w:right w:w="0" w:type="dxa"/>
          </w:tblCellMar>
        </w:tblPrEx>
        <w:trPr>
          <w:trHeight w:val="405" w:hRule="atLeast"/>
        </w:trPr>
        <w:tc>
          <w:tcPr>
            <w:tcW w:w="11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单项工程名称 </w:t>
            </w:r>
          </w:p>
        </w:tc>
        <w:tc>
          <w:tcPr>
            <w:tcW w:w="5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材料及设备费</w:t>
            </w:r>
          </w:p>
        </w:tc>
      </w:tr>
      <w:tr>
        <w:tblPrEx>
          <w:tblLayout w:type="fixed"/>
          <w:tblCellMar>
            <w:top w:w="0" w:type="dxa"/>
            <w:left w:w="0" w:type="dxa"/>
            <w:bottom w:w="0" w:type="dxa"/>
            <w:right w:w="0" w:type="dxa"/>
          </w:tblCellMar>
        </w:tblPrEx>
        <w:trPr>
          <w:trHeight w:val="510" w:hRule="atLeast"/>
        </w:trPr>
        <w:tc>
          <w:tcPr>
            <w:tcW w:w="11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不含税材料费（元）</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含税合计（元）</w:t>
            </w:r>
          </w:p>
        </w:tc>
      </w:tr>
      <w:tr>
        <w:tblPrEx>
          <w:tblLayout w:type="fixed"/>
          <w:tblCellMar>
            <w:top w:w="0" w:type="dxa"/>
            <w:left w:w="0" w:type="dxa"/>
            <w:bottom w:w="0" w:type="dxa"/>
            <w:right w:w="0" w:type="dxa"/>
          </w:tblCellMar>
        </w:tblPrEx>
        <w:trPr>
          <w:trHeight w:val="375" w:hRule="atLeast"/>
        </w:trPr>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材料及设备采购</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75" w:hRule="atLeast"/>
        </w:trPr>
        <w:tc>
          <w:tcPr>
            <w:tcW w:w="78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rPr>
          <w:rFonts w:hint="eastAsia"/>
        </w:rPr>
      </w:pPr>
    </w:p>
    <w:p>
      <w:pPr>
        <w:pStyle w:val="4"/>
      </w:pPr>
    </w:p>
    <w:p>
      <w:pPr>
        <w:tabs>
          <w:tab w:val="left" w:pos="1500"/>
        </w:tabs>
        <w:spacing w:line="360" w:lineRule="auto"/>
        <w:jc w:val="both"/>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ascii="宋体" w:hAnsi="宋体"/>
          <w:color w:val="auto"/>
          <w:sz w:val="24"/>
          <w:highlight w:val="none"/>
        </w:rPr>
      </w:pPr>
    </w:p>
    <w:p>
      <w:pPr>
        <w:pStyle w:val="2"/>
        <w:rPr>
          <w:rFonts w:hint="eastAsia" w:ascii="宋体" w:hAnsi="宋体"/>
          <w:color w:val="auto"/>
          <w:sz w:val="24"/>
          <w:highlight w:val="none"/>
        </w:rPr>
      </w:pPr>
    </w:p>
    <w:p>
      <w:pPr>
        <w:rPr>
          <w:rFonts w:hint="eastAsia"/>
        </w:rPr>
      </w:pPr>
    </w:p>
    <w:p>
      <w:pPr>
        <w:rPr>
          <w:rFonts w:hint="eastAsia" w:ascii="宋体" w:hAnsi="宋体"/>
          <w:color w:val="auto"/>
          <w:sz w:val="24"/>
          <w:highlight w:val="none"/>
        </w:rPr>
      </w:pPr>
    </w:p>
    <w:p>
      <w:pPr>
        <w:pStyle w:val="2"/>
        <w:rPr>
          <w:rFonts w:hint="eastAsia" w:ascii="宋体" w:hAnsi="宋体"/>
          <w:color w:val="auto"/>
          <w:sz w:val="24"/>
          <w:highlight w:val="none"/>
        </w:rPr>
      </w:pPr>
    </w:p>
    <w:tbl>
      <w:tblPr>
        <w:tblStyle w:val="9"/>
        <w:tblW w:w="13420" w:type="dxa"/>
        <w:tblInd w:w="0" w:type="dxa"/>
        <w:tblLayout w:type="fixed"/>
        <w:tblCellMar>
          <w:top w:w="0" w:type="dxa"/>
          <w:left w:w="0" w:type="dxa"/>
          <w:bottom w:w="0" w:type="dxa"/>
          <w:right w:w="0" w:type="dxa"/>
        </w:tblCellMar>
      </w:tblPr>
      <w:tblGrid>
        <w:gridCol w:w="827"/>
        <w:gridCol w:w="3755"/>
        <w:gridCol w:w="743"/>
        <w:gridCol w:w="1679"/>
        <w:gridCol w:w="1229"/>
        <w:gridCol w:w="1559"/>
        <w:gridCol w:w="1814"/>
        <w:gridCol w:w="1814"/>
      </w:tblGrid>
      <w:tr>
        <w:tblPrEx>
          <w:tblLayout w:type="fixed"/>
          <w:tblCellMar>
            <w:top w:w="0" w:type="dxa"/>
            <w:left w:w="0" w:type="dxa"/>
            <w:bottom w:w="0" w:type="dxa"/>
            <w:right w:w="0" w:type="dxa"/>
          </w:tblCellMar>
        </w:tblPrEx>
        <w:trPr>
          <w:trHeight w:val="440" w:hRule="atLeast"/>
        </w:trPr>
        <w:tc>
          <w:tcPr>
            <w:tcW w:w="13420" w:type="dxa"/>
            <w:gridSpan w:val="8"/>
            <w:tcBorders>
              <w:top w:val="nil"/>
              <w:left w:val="nil"/>
              <w:bottom w:val="nil"/>
              <w:right w:val="nil"/>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材料及设备采购清单</w:t>
            </w:r>
          </w:p>
        </w:tc>
      </w:tr>
      <w:tr>
        <w:tblPrEx>
          <w:tblLayout w:type="fixed"/>
          <w:tblCellMar>
            <w:top w:w="0" w:type="dxa"/>
            <w:left w:w="0" w:type="dxa"/>
            <w:bottom w:w="0" w:type="dxa"/>
            <w:right w:w="0" w:type="dxa"/>
          </w:tblCellMar>
        </w:tblPrEx>
        <w:trPr>
          <w:trHeight w:val="360" w:hRule="atLeast"/>
        </w:trPr>
        <w:tc>
          <w:tcPr>
            <w:tcW w:w="13420"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工程名称：天眉乐公司职工小家装修改造项目材料及设备采购</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名称、规格、型号</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特征描述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不含税单价(元)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不含税总价(元)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电子感应门3180mm*4600mm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电子感应门1300mm*3300mm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不锈钢门套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SPC锁扣式地板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仿地毯纹PVC地胶</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原有石材地面修补打磨晶面处理</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12mm防潮纸面石膏板吊顶天棚</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顶棚防水无机涂料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轻钢龙骨+阻燃板+4mm铝塑板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顶棚无机涂料</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167.28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铝方通吊顶 50*100*1mm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LED定制型材灯 1200*100mm</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吊灯  </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内墙 无机涂料墙面</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新做木饰面柜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电动门设门禁+门铃呼叫+人脸识别</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分体式空调(壁挂机） 1.5P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分体式空调(柜机） 3P</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1P-1.5P分体空调铜管加长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3P分体空铜管加长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一层空调外机不锈钢防盗栏</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外墙修补</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强电局部增加点位</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 MF/ABC4</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玻璃贴防晒隔热膜</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办公室玻璃贴3M渐变膜定制竹艺图案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3银Low-e6+15A+6中空钢化玻璃断桥窗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木质门带套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圈椅</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茶几（形状综合）</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双人位沙发</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文化隔断屏风</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一层4.5m高窗帘（含褶皱系数）</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普通轨道</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详设计施工图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计（元）</w:t>
            </w: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rPr>
          <w:rFonts w:hint="eastAsia"/>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9"/>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1" w:name="page154"/>
      <w:bookmarkEnd w:id="1"/>
      <w:bookmarkStart w:id="2"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2"/>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1"/>
        <w:rPr>
          <w:color w:val="auto"/>
          <w:highlight w:val="none"/>
        </w:rPr>
      </w:pPr>
      <w:r>
        <w:rPr>
          <w:rFonts w:hint="eastAsia"/>
          <w:color w:val="auto"/>
          <w:highlight w:val="none"/>
        </w:rPr>
        <w:t>1、信誉承诺</w:t>
      </w:r>
    </w:p>
    <w:p>
      <w:pPr>
        <w:pStyle w:val="11"/>
        <w:rPr>
          <w:color w:val="auto"/>
          <w:highlight w:val="none"/>
        </w:rPr>
      </w:pPr>
    </w:p>
    <w:p>
      <w:pPr>
        <w:pStyle w:val="10"/>
        <w:spacing w:line="360" w:lineRule="auto"/>
        <w:ind w:firstLine="480"/>
        <w:jc w:val="center"/>
        <w:rPr>
          <w:color w:val="auto"/>
          <w:sz w:val="24"/>
          <w:szCs w:val="24"/>
          <w:highlight w:val="none"/>
        </w:rPr>
      </w:pPr>
    </w:p>
    <w:p>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0"/>
        <w:spacing w:line="360" w:lineRule="auto"/>
        <w:ind w:firstLine="480"/>
        <w:jc w:val="center"/>
        <w:rPr>
          <w:color w:val="auto"/>
          <w:sz w:val="24"/>
          <w:szCs w:val="24"/>
          <w:highlight w:val="none"/>
        </w:rPr>
      </w:pPr>
    </w:p>
    <w:p>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1"/>
        <w:rPr>
          <w:rFonts w:ascii="等线" w:hAnsi="等线"/>
          <w:color w:val="auto"/>
          <w:szCs w:val="21"/>
          <w:highlight w:val="none"/>
        </w:rPr>
      </w:pPr>
    </w:p>
    <w:p>
      <w:pPr>
        <w:pStyle w:val="11"/>
        <w:rPr>
          <w:rFonts w:ascii="等线" w:hAnsi="等线"/>
          <w:color w:val="auto"/>
          <w:szCs w:val="21"/>
          <w:highlight w:val="none"/>
        </w:rPr>
      </w:pPr>
    </w:p>
    <w:p>
      <w:pPr>
        <w:pStyle w:val="11"/>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bookmarkEnd w:id="0"/>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7"/>
      <w:jc w:val="center"/>
      <w:rPr>
        <w:rFonts w:hint="eastAsia"/>
      </w:rPr>
    </w:pPr>
  </w:p>
  <w:p>
    <w:pPr>
      <w:pStyle w:val="7"/>
      <w:jc w:val="center"/>
      <w:rPr>
        <w:rFonts w:hint="eastAsia"/>
      </w:rPr>
    </w:pPr>
  </w:p>
  <w:p>
    <w:pPr>
      <w:pStyle w:val="7"/>
      <w:jc w:val="center"/>
      <w:rPr>
        <w:rFonts w:hint="eastAsia"/>
      </w:rP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7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4">
    <w:name w:val="Body Text First Indent"/>
    <w:basedOn w:val="5"/>
    <w:unhideWhenUsed/>
    <w:qFormat/>
    <w:uiPriority w:val="99"/>
    <w:pPr>
      <w:tabs>
        <w:tab w:val="left" w:pos="1500"/>
      </w:tabs>
      <w:ind w:firstLine="420" w:firstLineChars="100"/>
    </w:pPr>
  </w:style>
  <w:style w:type="paragraph" w:styleId="5">
    <w:name w:val="Body Text"/>
    <w:basedOn w:val="1"/>
    <w:next w:val="4"/>
    <w:uiPriority w:val="0"/>
    <w:pPr>
      <w:tabs>
        <w:tab w:val="left" w:pos="1500"/>
      </w:tabs>
      <w:spacing w:line="360" w:lineRule="auto"/>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2025-05-26T02:12:35Z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