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44"/>
          <w:szCs w:val="44"/>
          <w:highlight w:val="none"/>
          <w:lang w:eastAsia="zh-CN"/>
        </w:rPr>
      </w:pPr>
    </w:p>
    <w:p>
      <w:pPr>
        <w:jc w:val="center"/>
        <w:rPr>
          <w:rFonts w:hint="eastAsia"/>
          <w:color w:val="auto"/>
          <w:highlight w:val="none"/>
        </w:rPr>
      </w:pPr>
      <w:r>
        <w:rPr>
          <w:rFonts w:hint="eastAsia" w:ascii="仿宋" w:hAnsi="仿宋" w:eastAsia="仿宋"/>
          <w:color w:val="auto"/>
          <w:sz w:val="44"/>
          <w:szCs w:val="44"/>
          <w:highlight w:val="none"/>
          <w:lang w:eastAsia="zh-CN"/>
        </w:rPr>
        <w:t>仁沐高速公路有限责任公司办公区、沐川管理处VI物料制作</w:t>
      </w:r>
      <w:bookmarkStart w:id="2" w:name="_GoBack"/>
      <w:bookmarkEnd w:id="2"/>
      <w:r>
        <w:rPr>
          <w:rFonts w:hint="eastAsia" w:ascii="仿宋" w:hAnsi="仿宋" w:eastAsia="仿宋"/>
          <w:color w:val="auto"/>
          <w:sz w:val="44"/>
          <w:szCs w:val="44"/>
          <w:highlight w:val="none"/>
          <w:lang w:eastAsia="zh-CN"/>
        </w:rPr>
        <w:t xml:space="preserve">及安装项目 </w:t>
      </w: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sz w:val="18"/>
          <w:highlight w:val="none"/>
        </w:rPr>
      </w:pPr>
    </w:p>
    <w:p>
      <w:pPr>
        <w:rPr>
          <w:color w:val="auto"/>
          <w:sz w:val="18"/>
          <w:highlight w:val="none"/>
        </w:rPr>
      </w:pPr>
    </w:p>
    <w:p>
      <w:pPr>
        <w:pStyle w:val="3"/>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3"/>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pPr>
        <w:pStyle w:val="4"/>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2025年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pPr>
        <w:pStyle w:val="4"/>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pPr>
        <w:pStyle w:val="4"/>
        <w:ind w:firstLine="0"/>
        <w:jc w:val="center"/>
        <w:rPr>
          <w:rFonts w:hint="eastAsia" w:ascii="宋体" w:hAnsi="宋体"/>
          <w:color w:val="auto"/>
          <w:sz w:val="30"/>
          <w:szCs w:val="30"/>
          <w:highlight w:val="none"/>
        </w:rPr>
      </w:pPr>
    </w:p>
    <w:p>
      <w:pPr>
        <w:pStyle w:val="4"/>
        <w:jc w:val="center"/>
        <w:rPr>
          <w:rFonts w:hint="eastAsia" w:ascii="仿宋" w:hAnsi="仿宋" w:eastAsia="仿宋"/>
          <w:b/>
          <w:color w:val="auto"/>
          <w:sz w:val="32"/>
          <w:szCs w:val="32"/>
          <w:highlight w:val="none"/>
        </w:rPr>
      </w:pP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pPr>
        <w:tabs>
          <w:tab w:val="left" w:pos="1500"/>
        </w:tabs>
        <w:spacing w:line="360" w:lineRule="auto"/>
        <w:rPr>
          <w:rFonts w:hint="eastAsia"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四川道宇建设实业有限责任公司</w:t>
      </w:r>
    </w:p>
    <w:p>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仁沐高速公路有限责任公司办公区、沐川管理处VI物料制作及安装项目</w:t>
      </w:r>
      <w:r>
        <w:rPr>
          <w:rFonts w:hint="eastAsia" w:ascii="宋体" w:hAnsi="宋体"/>
          <w:color w:val="auto"/>
          <w:sz w:val="24"/>
          <w:highlight w:val="none"/>
          <w:u w:val="single"/>
          <w:lang w:val="en-US" w:eastAsia="zh-CN"/>
        </w:rPr>
        <w:t>比选文件</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仁沐高速公路有限责任公司办公区、沐川管理处VI物料制作及安装项目</w:t>
      </w:r>
      <w:r>
        <w:rPr>
          <w:rFonts w:hint="eastAsia" w:ascii="宋体" w:hAnsi="宋体"/>
          <w:color w:val="auto"/>
          <w:sz w:val="24"/>
          <w:highlight w:val="none"/>
          <w:u w:val="single"/>
          <w:lang w:val="en-US" w:eastAsia="zh-CN"/>
        </w:rPr>
        <w:t>比选文件</w:t>
      </w:r>
      <w:r>
        <w:rPr>
          <w:rFonts w:hint="eastAsia" w:ascii="宋体" w:hAnsi="宋体"/>
          <w:color w:val="auto"/>
          <w:spacing w:val="-2"/>
          <w:sz w:val="24"/>
          <w:highlight w:val="none"/>
        </w:rPr>
        <w:t>的全部内容，愿意以总价</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税率   %；不含税价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eastAsia="zh-CN"/>
        </w:rPr>
        <w:t>（</w:t>
      </w:r>
      <w:r>
        <w:rPr>
          <w:rFonts w:hint="eastAsia" w:ascii="宋体" w:hAnsi="宋体"/>
          <w:color w:val="auto"/>
          <w:spacing w:val="-2"/>
          <w:sz w:val="24"/>
          <w:highlight w:val="none"/>
          <w:lang w:val="en-US" w:eastAsia="zh-CN"/>
        </w:rPr>
        <w:t>报价清单附后</w:t>
      </w:r>
      <w:r>
        <w:rPr>
          <w:rFonts w:hint="eastAsia" w:ascii="宋体" w:hAnsi="宋体"/>
          <w:color w:val="auto"/>
          <w:spacing w:val="-2"/>
          <w:sz w:val="24"/>
          <w:highlight w:val="none"/>
          <w:lang w:eastAsia="zh-CN"/>
        </w:rPr>
        <w:t>）</w:t>
      </w:r>
      <w:r>
        <w:rPr>
          <w:rFonts w:hint="eastAsia" w:ascii="宋体" w:hAnsi="宋体"/>
          <w:color w:val="auto"/>
          <w:spacing w:val="-2"/>
          <w:sz w:val="24"/>
          <w:highlight w:val="none"/>
        </w:rPr>
        <w:t>，</w:t>
      </w:r>
      <w:r>
        <w:rPr>
          <w:rFonts w:hint="eastAsia" w:ascii="宋体" w:hAnsi="宋体"/>
          <w:color w:val="auto"/>
          <w:spacing w:val="-2"/>
          <w:sz w:val="24"/>
          <w:highlight w:val="none"/>
          <w:lang w:eastAsia="zh-CN"/>
        </w:rPr>
        <w:t>服务期：</w:t>
      </w:r>
      <w:r>
        <w:rPr>
          <w:rFonts w:hint="eastAsia" w:ascii="宋体" w:hAnsi="宋体" w:eastAsia="宋体" w:cs="Times New Roman"/>
          <w:color w:val="auto"/>
          <w:sz w:val="24"/>
          <w:highlight w:val="none"/>
          <w:u w:val="single"/>
          <w:lang w:val="en-US" w:eastAsia="zh-CN"/>
        </w:rPr>
        <w:t>20个日历天</w:t>
      </w:r>
      <w:r>
        <w:rPr>
          <w:rFonts w:hint="eastAsia" w:ascii="宋体" w:hAnsi="宋体"/>
          <w:color w:val="auto"/>
          <w:spacing w:val="-2"/>
          <w:sz w:val="24"/>
          <w:highlight w:val="none"/>
        </w:rPr>
        <w:t>，按比选文件规定和合同约定实施，</w:t>
      </w:r>
      <w:r>
        <w:rPr>
          <w:rFonts w:hint="eastAsia" w:ascii="宋体" w:hAnsi="宋体"/>
          <w:color w:val="auto"/>
          <w:spacing w:val="-2"/>
          <w:sz w:val="24"/>
          <w:highlight w:val="none"/>
          <w:lang w:val="en-US" w:eastAsia="zh-CN"/>
        </w:rPr>
        <w:t>质量</w:t>
      </w:r>
      <w:r>
        <w:rPr>
          <w:rFonts w:hint="eastAsia" w:ascii="宋体" w:hAnsi="宋体"/>
          <w:color w:val="auto"/>
          <w:spacing w:val="-2"/>
          <w:sz w:val="24"/>
          <w:highlight w:val="none"/>
        </w:rPr>
        <w:t>达到</w:t>
      </w:r>
      <w:r>
        <w:rPr>
          <w:rFonts w:hint="eastAsia" w:ascii="宋体" w:hAnsi="宋体"/>
          <w:color w:val="auto"/>
          <w:spacing w:val="-2"/>
          <w:sz w:val="24"/>
          <w:highlight w:val="none"/>
          <w:lang w:eastAsia="zh-CN"/>
        </w:rPr>
        <w:t>：</w:t>
      </w:r>
      <w:r>
        <w:rPr>
          <w:rFonts w:hint="eastAsia" w:ascii="宋体" w:hAnsi="宋体" w:eastAsia="宋体" w:cs="Times New Roman"/>
          <w:color w:val="auto"/>
          <w:spacing w:val="-2"/>
          <w:sz w:val="24"/>
          <w:highlight w:val="none"/>
          <w:u w:val="single"/>
          <w:lang w:val="en-US" w:eastAsia="zh-CN"/>
        </w:rPr>
        <w:t>满足合同要求</w:t>
      </w:r>
      <w:r>
        <w:rPr>
          <w:rFonts w:hint="eastAsia" w:ascii="宋体" w:hAnsi="宋体"/>
          <w:color w:val="auto"/>
          <w:spacing w:val="-2"/>
          <w:sz w:val="24"/>
          <w:highlight w:val="none"/>
          <w:u w:val="non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pPr>
        <w:tabs>
          <w:tab w:val="left" w:pos="1500"/>
        </w:tabs>
        <w:spacing w:line="360" w:lineRule="auto"/>
        <w:ind w:left="-376" w:leftChars="-714" w:hanging="1123" w:hangingChars="468"/>
        <w:jc w:val="center"/>
        <w:rPr>
          <w:rFonts w:hint="eastAsia" w:ascii="宋体" w:hAnsi="宋体"/>
          <w:color w:val="auto"/>
          <w:sz w:val="24"/>
          <w:highlight w:val="none"/>
        </w:rPr>
        <w:sectPr>
          <w:pgSz w:w="11906" w:h="16838"/>
          <w:pgMar w:top="1440" w:right="1803" w:bottom="1440" w:left="1803" w:header="851" w:footer="992" w:gutter="0"/>
          <w:pgNumType w:fmt="decimal"/>
          <w:cols w:space="720" w:num="1"/>
          <w:docGrid w:type="lines" w:linePitch="319" w:charSpace="0"/>
        </w:sectPr>
      </w:pPr>
      <w:r>
        <w:rPr>
          <w:rFonts w:hint="eastAsia" w:ascii="宋体" w:hAnsi="宋体"/>
          <w:color w:val="auto"/>
          <w:sz w:val="24"/>
          <w:highlight w:val="none"/>
        </w:rPr>
        <w:t xml:space="preserve">日 期：   </w:t>
      </w:r>
    </w:p>
    <w:tbl>
      <w:tblPr>
        <w:tblStyle w:val="7"/>
        <w:tblW w:w="14740" w:type="dxa"/>
        <w:tblInd w:w="0" w:type="dxa"/>
        <w:tblLayout w:type="fixed"/>
        <w:tblCellMar>
          <w:top w:w="0" w:type="dxa"/>
          <w:left w:w="0" w:type="dxa"/>
          <w:bottom w:w="0" w:type="dxa"/>
          <w:right w:w="0" w:type="dxa"/>
        </w:tblCellMar>
      </w:tblPr>
      <w:tblGrid>
        <w:gridCol w:w="724"/>
        <w:gridCol w:w="1489"/>
        <w:gridCol w:w="2779"/>
        <w:gridCol w:w="1695"/>
        <w:gridCol w:w="2610"/>
        <w:gridCol w:w="1080"/>
        <w:gridCol w:w="1170"/>
        <w:gridCol w:w="1752"/>
        <w:gridCol w:w="1441"/>
      </w:tblGrid>
      <w:tr>
        <w:tblPrEx>
          <w:tblLayout w:type="fixed"/>
          <w:tblCellMar>
            <w:top w:w="0" w:type="dxa"/>
            <w:left w:w="0" w:type="dxa"/>
            <w:bottom w:w="0" w:type="dxa"/>
            <w:right w:w="0" w:type="dxa"/>
          </w:tblCellMar>
        </w:tblPrEx>
        <w:trPr>
          <w:trHeight w:val="676" w:hRule="atLeast"/>
        </w:trPr>
        <w:tc>
          <w:tcPr>
            <w:tcW w:w="14740" w:type="dxa"/>
            <w:gridSpan w:val="9"/>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四川仁沐高速公路有限责任公司办公区VI工程量清单（仁寿）</w:t>
            </w:r>
          </w:p>
        </w:tc>
      </w:tr>
      <w:tr>
        <w:tblPrEx>
          <w:tblLayout w:type="fixed"/>
          <w:tblCellMar>
            <w:top w:w="0" w:type="dxa"/>
            <w:left w:w="0" w:type="dxa"/>
            <w:bottom w:w="0" w:type="dxa"/>
            <w:right w:w="0" w:type="dxa"/>
          </w:tblCellMar>
        </w:tblPrEx>
        <w:trPr>
          <w:trHeight w:val="795"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489"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项目名称</w:t>
            </w:r>
          </w:p>
        </w:tc>
        <w:tc>
          <w:tcPr>
            <w:tcW w:w="2779"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图示</w:t>
            </w:r>
          </w:p>
        </w:tc>
        <w:tc>
          <w:tcPr>
            <w:tcW w:w="169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规格尺寸（mm）</w:t>
            </w:r>
          </w:p>
        </w:tc>
        <w:tc>
          <w:tcPr>
            <w:tcW w:w="261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材质工艺</w:t>
            </w:r>
          </w:p>
        </w:tc>
        <w:tc>
          <w:tcPr>
            <w:tcW w:w="108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117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752"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441"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总价</w:t>
            </w: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办公区导视</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685800" cy="1466850"/>
                  <wp:effectExtent l="0" t="0" r="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7"/>
                          <a:stretch>
                            <a:fillRect/>
                          </a:stretch>
                        </pic:blipFill>
                        <pic:spPr>
                          <a:xfrm>
                            <a:off x="0" y="0"/>
                            <a:ext cx="685800" cy="146685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不锈钢面板+三层汽车漆</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89" w:type="dxa"/>
            <w:vMerge w:val="restart"/>
            <w:tcBorders>
              <w:top w:val="nil"/>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办公区卫生间</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914400" cy="676275"/>
                  <wp:effectExtent l="0" t="0" r="0" b="9525"/>
                  <wp:wrapNone/>
                  <wp:docPr id="12" name="图片_2"/>
                  <wp:cNvGraphicFramePr/>
                  <a:graphic xmlns:a="http://schemas.openxmlformats.org/drawingml/2006/main">
                    <a:graphicData uri="http://schemas.openxmlformats.org/drawingml/2006/picture">
                      <pic:pic xmlns:pic="http://schemas.openxmlformats.org/drawingml/2006/picture">
                        <pic:nvPicPr>
                          <pic:cNvPr id="12" name="图片_2"/>
                          <pic:cNvPicPr/>
                        </pic:nvPicPr>
                        <pic:blipFill>
                          <a:blip r:embed="rId8"/>
                          <a:stretch>
                            <a:fillRect/>
                          </a:stretch>
                        </pic:blipFill>
                        <pic:spPr>
                          <a:xfrm>
                            <a:off x="0" y="0"/>
                            <a:ext cx="914400" cy="676275"/>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ascii="思源黑体 CN Normal" w:hAnsi="思源黑体 CN Normal" w:eastAsia="思源黑体 CN Normal" w:cs="思源黑体 CN Normal"/>
                <w:i w:val="0"/>
                <w:color w:val="000000"/>
                <w:sz w:val="24"/>
                <w:szCs w:val="24"/>
                <w:u w:val="none"/>
              </w:rPr>
            </w:pPr>
            <w:r>
              <w:rPr>
                <w:rFonts w:hint="default" w:ascii="思源黑体 CN Normal" w:hAnsi="思源黑体 CN Normal" w:eastAsia="思源黑体 CN Normal" w:cs="思源黑体 CN Normal"/>
                <w:i w:val="0"/>
                <w:color w:val="000000"/>
                <w:kern w:val="0"/>
                <w:sz w:val="24"/>
                <w:szCs w:val="24"/>
                <w:u w:val="none"/>
                <w:lang w:val="en-US" w:eastAsia="zh-CN" w:bidi="ar"/>
              </w:rPr>
              <w:t>30x16cm</w:t>
            </w:r>
          </w:p>
        </w:tc>
        <w:tc>
          <w:tcPr>
            <w:tcW w:w="2610" w:type="dxa"/>
            <w:vMerge w:val="restart"/>
            <w:tcBorders>
              <w:top w:val="nil"/>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p>
          <w:p>
            <w:pPr>
              <w:keepNext w:val="0"/>
              <w:keepLines w:val="0"/>
              <w:widowControl/>
              <w:suppressLineNumbers w:val="0"/>
              <w:jc w:val="center"/>
              <w:textAlignment w:val="center"/>
              <w:rPr>
                <w:rFonts w:hint="default"/>
                <w:lang w:val="en-US" w:eastAsia="zh-CN"/>
              </w:rPr>
            </w:pPr>
          </w:p>
          <w:p>
            <w:pPr>
              <w:keepNext w:val="0"/>
              <w:keepLines w:val="0"/>
              <w:widowControl/>
              <w:suppressLineNumbers w:val="0"/>
              <w:jc w:val="center"/>
              <w:textAlignment w:val="center"/>
              <w:rPr>
                <w:rFonts w:hint="default"/>
                <w:lang w:val="en-US" w:eastAsia="zh-CN"/>
              </w:rPr>
            </w:pPr>
          </w:p>
          <w:p>
            <w:pPr>
              <w:keepNext w:val="0"/>
              <w:keepLines w:val="0"/>
              <w:widowControl/>
              <w:suppressLineNumbers w:val="0"/>
              <w:jc w:val="center"/>
              <w:textAlignment w:val="center"/>
              <w:rPr>
                <w:rFonts w:hint="default"/>
                <w:lang w:val="en-US" w:eastAsia="zh-CN"/>
              </w:rPr>
            </w:pPr>
            <w:r>
              <w:rPr>
                <w:rFonts w:hint="default"/>
                <w:lang w:val="en-US" w:eastAsia="zh-CN"/>
              </w:rPr>
              <w:t>不锈钢面板</w:t>
            </w:r>
          </w:p>
          <w:p>
            <w:pPr>
              <w:pStyle w:val="2"/>
              <w:rPr>
                <w:rFonts w:hint="default"/>
                <w:lang w:val="en-US" w:eastAsia="zh-CN"/>
              </w:rPr>
            </w:pP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nil"/>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思源黑体 CN Normal" w:hAnsi="思源黑体 CN Normal" w:eastAsia="思源黑体 CN Normal" w:cs="思源黑体 CN Normal"/>
                <w:i w:val="0"/>
                <w:color w:val="000000"/>
                <w:sz w:val="24"/>
                <w:szCs w:val="24"/>
                <w:u w:val="none"/>
              </w:rPr>
            </w:pPr>
          </w:p>
        </w:tc>
        <w:tc>
          <w:tcPr>
            <w:tcW w:w="2610" w:type="dxa"/>
            <w:vMerge w:val="continue"/>
            <w:tcBorders>
              <w:top w:val="nil"/>
              <w:left w:val="nil"/>
              <w:bottom w:val="nil"/>
              <w:right w:val="single" w:color="000000" w:sz="8" w:space="0"/>
            </w:tcBorders>
            <w:tcMar>
              <w:top w:w="15" w:type="dxa"/>
              <w:left w:w="15" w:type="dxa"/>
              <w:right w:w="15" w:type="dxa"/>
            </w:tcMar>
            <w:vAlign w:val="center"/>
          </w:tcPr>
          <w:p>
            <w:pPr>
              <w:jc w:val="center"/>
              <w:rPr>
                <w:rFonts w:hint="default" w:ascii="Adobe 宋体 Std L" w:hAnsi="Adobe 宋体 Std L" w:eastAsia="Adobe 宋体 Std L" w:cs="Adobe 宋体 Std L"/>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nil"/>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思源黑体 CN Normal" w:hAnsi="思源黑体 CN Normal" w:eastAsia="思源黑体 CN Normal" w:cs="思源黑体 CN Normal"/>
                <w:i w:val="0"/>
                <w:color w:val="000000"/>
                <w:sz w:val="24"/>
                <w:szCs w:val="24"/>
                <w:u w:val="none"/>
              </w:rPr>
            </w:pPr>
          </w:p>
        </w:tc>
        <w:tc>
          <w:tcPr>
            <w:tcW w:w="2610" w:type="dxa"/>
            <w:vMerge w:val="continue"/>
            <w:tcBorders>
              <w:top w:val="nil"/>
              <w:left w:val="nil"/>
              <w:bottom w:val="nil"/>
              <w:right w:val="single" w:color="000000" w:sz="8" w:space="0"/>
            </w:tcBorders>
            <w:tcMar>
              <w:top w:w="15" w:type="dxa"/>
              <w:left w:w="15" w:type="dxa"/>
              <w:right w:w="15" w:type="dxa"/>
            </w:tcMar>
            <w:vAlign w:val="center"/>
          </w:tcPr>
          <w:p>
            <w:pPr>
              <w:jc w:val="center"/>
              <w:rPr>
                <w:rFonts w:hint="default" w:ascii="Adobe 宋体 Std L" w:hAnsi="Adobe 宋体 Std L" w:eastAsia="Adobe 宋体 Std L" w:cs="Adobe 宋体 Std L"/>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nil"/>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思源黑体 CN Normal" w:hAnsi="思源黑体 CN Normal" w:eastAsia="思源黑体 CN Normal" w:cs="思源黑体 CN Normal"/>
                <w:i w:val="0"/>
                <w:color w:val="000000"/>
                <w:sz w:val="24"/>
                <w:szCs w:val="24"/>
                <w:u w:val="none"/>
              </w:rPr>
            </w:pPr>
          </w:p>
        </w:tc>
        <w:tc>
          <w:tcPr>
            <w:tcW w:w="2610" w:type="dxa"/>
            <w:vMerge w:val="continue"/>
            <w:tcBorders>
              <w:top w:val="nil"/>
              <w:left w:val="nil"/>
              <w:bottom w:val="nil"/>
              <w:right w:val="single" w:color="000000" w:sz="8" w:space="0"/>
            </w:tcBorders>
            <w:tcMar>
              <w:top w:w="15" w:type="dxa"/>
              <w:left w:w="15" w:type="dxa"/>
              <w:right w:w="15" w:type="dxa"/>
            </w:tcMar>
            <w:vAlign w:val="center"/>
          </w:tcPr>
          <w:p>
            <w:pPr>
              <w:jc w:val="center"/>
              <w:rPr>
                <w:rFonts w:hint="default" w:ascii="Adobe 宋体 Std L" w:hAnsi="Adobe 宋体 Std L" w:eastAsia="Adobe 宋体 Std L" w:cs="Adobe 宋体 Std L"/>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tcBorders>
              <w:top w:val="single" w:color="000000" w:sz="8" w:space="0"/>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办公区卫生间</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695325" cy="876300"/>
                  <wp:effectExtent l="0" t="0" r="9525" b="0"/>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9"/>
                          <a:stretch>
                            <a:fillRect/>
                          </a:stretch>
                        </pic:blipFill>
                        <pic:spPr>
                          <a:xfrm>
                            <a:off x="0" y="0"/>
                            <a:ext cx="695325" cy="87630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思源黑体 CN Normal" w:hAnsi="思源黑体 CN Normal" w:eastAsia="思源黑体 CN Normal" w:cs="思源黑体 CN Normal"/>
                <w:i w:val="0"/>
                <w:color w:val="000000"/>
                <w:sz w:val="24"/>
                <w:szCs w:val="24"/>
                <w:u w:val="none"/>
              </w:rPr>
            </w:pPr>
            <w:r>
              <w:rPr>
                <w:rFonts w:hint="default" w:ascii="思源黑体 CN Normal" w:hAnsi="思源黑体 CN Normal" w:eastAsia="思源黑体 CN Normal" w:cs="思源黑体 CN Normal"/>
                <w:i w:val="0"/>
                <w:color w:val="000000"/>
                <w:kern w:val="0"/>
                <w:sz w:val="24"/>
                <w:szCs w:val="24"/>
                <w:u w:val="none"/>
                <w:lang w:val="en-US" w:eastAsia="zh-CN" w:bidi="ar"/>
              </w:rPr>
              <w:t>30x10cm</w:t>
            </w:r>
          </w:p>
        </w:tc>
        <w:tc>
          <w:tcPr>
            <w:tcW w:w="2610"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Adobe 宋体 Std L" w:hAnsi="Adobe 宋体 Std L" w:eastAsia="Adobe 宋体 Std L" w:cs="Adobe 宋体 Std L"/>
                <w:i w:val="0"/>
                <w:color w:val="000000"/>
                <w:sz w:val="22"/>
                <w:szCs w:val="22"/>
                <w:u w:val="none"/>
              </w:rPr>
            </w:pPr>
            <w:r>
              <w:rPr>
                <w:rFonts w:hint="default" w:ascii="Adobe 宋体 Std L" w:hAnsi="Adobe 宋体 Std L" w:eastAsia="Adobe 宋体 Std L" w:cs="Adobe 宋体 Std L"/>
                <w:i w:val="0"/>
                <w:color w:val="000000"/>
                <w:kern w:val="0"/>
                <w:sz w:val="22"/>
                <w:szCs w:val="22"/>
                <w:u w:val="none"/>
                <w:lang w:val="en-US" w:eastAsia="zh-CN" w:bidi="ar"/>
              </w:rPr>
              <w:t>亚克力</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tcBorders>
              <w:top w:val="nil"/>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导视</w:t>
            </w: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思源黑体 CN Normal" w:hAnsi="思源黑体 CN Normal" w:eastAsia="思源黑体 CN Normal" w:cs="思源黑体 CN Normal"/>
                <w:i w:val="0"/>
                <w:color w:val="000000"/>
                <w:sz w:val="24"/>
                <w:szCs w:val="24"/>
                <w:u w:val="none"/>
              </w:rPr>
            </w:pPr>
          </w:p>
        </w:tc>
        <w:tc>
          <w:tcPr>
            <w:tcW w:w="261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hint="default" w:ascii="Adobe 宋体 Std L" w:hAnsi="Adobe 宋体 Std L" w:eastAsia="Adobe 宋体 Std L" w:cs="Adobe 宋体 Std L"/>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kern w:val="0"/>
                <w:sz w:val="24"/>
                <w:szCs w:val="24"/>
                <w:u w:val="none"/>
                <w:lang w:val="en-US" w:eastAsia="zh-CN" w:bidi="ar"/>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思源黑体 CN Normal" w:hAnsi="思源黑体 CN Normal" w:eastAsia="思源黑体 CN Normal" w:cs="思源黑体 CN Normal"/>
                <w:i w:val="0"/>
                <w:color w:val="000000"/>
                <w:sz w:val="24"/>
                <w:szCs w:val="24"/>
                <w:u w:val="none"/>
              </w:rPr>
            </w:pPr>
          </w:p>
        </w:tc>
        <w:tc>
          <w:tcPr>
            <w:tcW w:w="261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hint="default" w:ascii="Adobe 宋体 Std L" w:hAnsi="Adobe 宋体 Std L" w:eastAsia="Adobe 宋体 Std L" w:cs="Adobe 宋体 Std L"/>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kern w:val="0"/>
                <w:sz w:val="24"/>
                <w:szCs w:val="24"/>
                <w:u w:val="none"/>
                <w:lang w:val="en-US" w:eastAsia="zh-CN" w:bidi="ar"/>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思源黑体 CN Normal" w:hAnsi="思源黑体 CN Normal" w:eastAsia="思源黑体 CN Normal" w:cs="思源黑体 CN Normal"/>
                <w:i w:val="0"/>
                <w:color w:val="000000"/>
                <w:sz w:val="24"/>
                <w:szCs w:val="24"/>
                <w:u w:val="none"/>
              </w:rPr>
            </w:pPr>
          </w:p>
        </w:tc>
        <w:tc>
          <w:tcPr>
            <w:tcW w:w="261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hint="default" w:ascii="Adobe 宋体 Std L" w:hAnsi="Adobe 宋体 Std L" w:eastAsia="Adobe 宋体 Std L" w:cs="Adobe 宋体 Std L"/>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kern w:val="0"/>
                <w:sz w:val="24"/>
                <w:szCs w:val="24"/>
                <w:u w:val="none"/>
                <w:lang w:val="en-US" w:eastAsia="zh-CN" w:bidi="ar"/>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思源黑体 CN Normal" w:hAnsi="思源黑体 CN Normal" w:eastAsia="思源黑体 CN Normal" w:cs="思源黑体 CN Normal"/>
                <w:i w:val="0"/>
                <w:color w:val="000000"/>
                <w:sz w:val="24"/>
                <w:szCs w:val="24"/>
                <w:u w:val="none"/>
              </w:rPr>
            </w:pPr>
          </w:p>
        </w:tc>
        <w:tc>
          <w:tcPr>
            <w:tcW w:w="261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hint="default" w:ascii="Adobe 宋体 Std L" w:hAnsi="Adobe 宋体 Std L" w:eastAsia="Adobe 宋体 Std L" w:cs="Adobe 宋体 Std L"/>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tcBorders>
              <w:top w:val="nil"/>
              <w:left w:val="nil"/>
              <w:bottom w:val="single" w:color="000000" w:sz="8" w:space="0"/>
              <w:right w:val="single" w:color="000000" w:sz="8" w:space="0"/>
            </w:tcBorders>
            <w:tcMar>
              <w:top w:w="15" w:type="dxa"/>
              <w:left w:w="15" w:type="dxa"/>
              <w:right w:w="15" w:type="dxa"/>
            </w:tcMar>
            <w:vAlign w:val="center"/>
          </w:tcPr>
          <w:p>
            <w:pPr>
              <w:rPr>
                <w:rFonts w:hint="eastAsia" w:ascii="宋体" w:hAnsi="宋体" w:eastAsia="宋体" w:cs="宋体"/>
                <w:i w:val="0"/>
                <w:color w:val="000000"/>
                <w:kern w:val="0"/>
                <w:sz w:val="24"/>
                <w:szCs w:val="24"/>
                <w:u w:val="none"/>
                <w:lang w:val="en-US" w:eastAsia="zh-CN" w:bidi="ar"/>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思源黑体 CN Normal" w:hAnsi="思源黑体 CN Normal" w:eastAsia="思源黑体 CN Normal" w:cs="思源黑体 CN Normal"/>
                <w:i w:val="0"/>
                <w:color w:val="000000"/>
                <w:sz w:val="24"/>
                <w:szCs w:val="24"/>
                <w:u w:val="none"/>
              </w:rPr>
            </w:pPr>
          </w:p>
        </w:tc>
        <w:tc>
          <w:tcPr>
            <w:tcW w:w="261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hint="default" w:ascii="Adobe 宋体 Std L" w:hAnsi="Adobe 宋体 Std L" w:eastAsia="Adobe 宋体 Std L" w:cs="Adobe 宋体 Std L"/>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二楼会议室</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504950" cy="752475"/>
                  <wp:effectExtent l="0" t="0" r="0" b="9525"/>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embed="rId10"/>
                          <a:stretch>
                            <a:fillRect/>
                          </a:stretch>
                        </pic:blipFill>
                        <pic:spPr>
                          <a:xfrm>
                            <a:off x="0" y="0"/>
                            <a:ext cx="1504950" cy="752475"/>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高3米长5.91米</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亚克力立体字</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cm</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9"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蓝色铝塑板+轻钢龙骨（17.73</w:t>
            </w:r>
            <w:r>
              <w:rPr>
                <w:rStyle w:val="8"/>
                <w:lang w:val="en-US" w:eastAsia="zh-CN" w:bidi="ar"/>
              </w:rPr>
              <w:t>㎡</w:t>
            </w:r>
            <w:r>
              <w:rPr>
                <w:rStyle w:val="9"/>
                <w:lang w:val="en-US" w:eastAsia="zh-CN" w:bidi="ar"/>
              </w:rPr>
              <w:t>）</w:t>
            </w:r>
          </w:p>
        </w:tc>
        <w:tc>
          <w:tcPr>
            <w:tcW w:w="108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7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17.73</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2"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23" w:type="dxa"/>
            <w:gridSpan w:val="6"/>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共计费用（包含运输安装）</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823" w:type="dxa"/>
            <w:gridSpan w:val="6"/>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税费（13%）</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823" w:type="dxa"/>
            <w:gridSpan w:val="6"/>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含税合计</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76" w:hRule="atLeast"/>
        </w:trPr>
        <w:tc>
          <w:tcPr>
            <w:tcW w:w="14740" w:type="dxa"/>
            <w:gridSpan w:val="9"/>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仁沐公司沐川管理处VI工程量清单（沐川）</w:t>
            </w:r>
          </w:p>
        </w:tc>
      </w:tr>
      <w:tr>
        <w:tblPrEx>
          <w:tblLayout w:type="fixed"/>
          <w:tblCellMar>
            <w:top w:w="0" w:type="dxa"/>
            <w:left w:w="0" w:type="dxa"/>
            <w:bottom w:w="0" w:type="dxa"/>
            <w:right w:w="0" w:type="dxa"/>
          </w:tblCellMar>
        </w:tblPrEx>
        <w:trPr>
          <w:trHeight w:val="795"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489"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项目名称</w:t>
            </w:r>
          </w:p>
        </w:tc>
        <w:tc>
          <w:tcPr>
            <w:tcW w:w="2779"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图示</w:t>
            </w:r>
          </w:p>
        </w:tc>
        <w:tc>
          <w:tcPr>
            <w:tcW w:w="169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规格尺寸（mm）</w:t>
            </w:r>
          </w:p>
        </w:tc>
        <w:tc>
          <w:tcPr>
            <w:tcW w:w="261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材质工艺</w:t>
            </w:r>
          </w:p>
        </w:tc>
        <w:tc>
          <w:tcPr>
            <w:tcW w:w="108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117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752"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441"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总价</w:t>
            </w: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管理处楼顶字</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371600" cy="809625"/>
                  <wp:effectExtent l="0" t="0" r="0" b="9525"/>
                  <wp:wrapNone/>
                  <wp:docPr id="13" name="图片_5"/>
                  <wp:cNvGraphicFramePr/>
                  <a:graphic xmlns:a="http://schemas.openxmlformats.org/drawingml/2006/main">
                    <a:graphicData uri="http://schemas.openxmlformats.org/drawingml/2006/picture">
                      <pic:pic xmlns:pic="http://schemas.openxmlformats.org/drawingml/2006/picture">
                        <pic:nvPicPr>
                          <pic:cNvPr id="13" name="图片_5"/>
                          <pic:cNvPicPr/>
                        </pic:nvPicPr>
                        <pic:blipFill>
                          <a:blip r:embed="rId11"/>
                          <a:stretch>
                            <a:fillRect/>
                          </a:stretch>
                        </pic:blipFill>
                        <pic:spPr>
                          <a:xfrm>
                            <a:off x="0" y="0"/>
                            <a:ext cx="1371600" cy="809625"/>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长:16000</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不锈钢发光字</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单字宽：950</w:t>
            </w:r>
          </w:p>
        </w:tc>
        <w:tc>
          <w:tcPr>
            <w:tcW w:w="261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钢架</w:t>
            </w:r>
          </w:p>
        </w:tc>
        <w:tc>
          <w:tcPr>
            <w:tcW w:w="108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17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69"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（暂定）</w:t>
            </w:r>
          </w:p>
        </w:tc>
        <w:tc>
          <w:tcPr>
            <w:tcW w:w="261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布线及墙面处理+发光工艺</w:t>
            </w:r>
          </w:p>
        </w:tc>
        <w:tc>
          <w:tcPr>
            <w:tcW w:w="108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17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办公区卫生间导视</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962025" cy="704850"/>
                  <wp:effectExtent l="0" t="0" r="9525" b="0"/>
                  <wp:wrapNone/>
                  <wp:docPr id="3" name="图片_6"/>
                  <wp:cNvGraphicFramePr/>
                  <a:graphic xmlns:a="http://schemas.openxmlformats.org/drawingml/2006/main">
                    <a:graphicData uri="http://schemas.openxmlformats.org/drawingml/2006/picture">
                      <pic:pic xmlns:pic="http://schemas.openxmlformats.org/drawingml/2006/picture">
                        <pic:nvPicPr>
                          <pic:cNvPr id="3" name="图片_6"/>
                          <pic:cNvPicPr/>
                        </pic:nvPicPr>
                        <pic:blipFill>
                          <a:blip r:embed="rId12"/>
                          <a:stretch>
                            <a:fillRect/>
                          </a:stretch>
                        </pic:blipFill>
                        <pic:spPr>
                          <a:xfrm>
                            <a:off x="0" y="0"/>
                            <a:ext cx="962025" cy="70485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30x16cm</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不锈钢面板</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847725" cy="1066800"/>
                  <wp:effectExtent l="0" t="0" r="9525" b="0"/>
                  <wp:wrapNone/>
                  <wp:docPr id="8" name="图片_7"/>
                  <wp:cNvGraphicFramePr/>
                  <a:graphic xmlns:a="http://schemas.openxmlformats.org/drawingml/2006/main">
                    <a:graphicData uri="http://schemas.openxmlformats.org/drawingml/2006/picture">
                      <pic:pic xmlns:pic="http://schemas.openxmlformats.org/drawingml/2006/picture">
                        <pic:nvPicPr>
                          <pic:cNvPr id="8" name="图片_7"/>
                          <pic:cNvPicPr/>
                        </pic:nvPicPr>
                        <pic:blipFill>
                          <a:blip r:embed="rId13"/>
                          <a:stretch>
                            <a:fillRect/>
                          </a:stretch>
                        </pic:blipFill>
                        <pic:spPr>
                          <a:xfrm>
                            <a:off x="0" y="0"/>
                            <a:ext cx="847725" cy="106680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30x10cm</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管理处铭牌</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1381125" cy="857250"/>
                  <wp:effectExtent l="0" t="0" r="9525" b="0"/>
                  <wp:wrapNone/>
                  <wp:docPr id="14" name="图片_8"/>
                  <wp:cNvGraphicFramePr/>
                  <a:graphic xmlns:a="http://schemas.openxmlformats.org/drawingml/2006/main">
                    <a:graphicData uri="http://schemas.openxmlformats.org/drawingml/2006/picture">
                      <pic:pic xmlns:pic="http://schemas.openxmlformats.org/drawingml/2006/picture">
                        <pic:nvPicPr>
                          <pic:cNvPr id="14" name="图片_8"/>
                          <pic:cNvPicPr/>
                        </pic:nvPicPr>
                        <pic:blipFill>
                          <a:blip r:embed="rId14"/>
                          <a:stretch>
                            <a:fillRect/>
                          </a:stretch>
                        </pic:blipFill>
                        <pic:spPr>
                          <a:xfrm>
                            <a:off x="0" y="0"/>
                            <a:ext cx="1381125" cy="85725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长：2000</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不锈钢面板</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管理处玻璃防撞条</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095375" cy="828675"/>
                  <wp:effectExtent l="0" t="0" r="9525" b="9525"/>
                  <wp:wrapNone/>
                  <wp:docPr id="4" name="图片_9"/>
                  <wp:cNvGraphicFramePr/>
                  <a:graphic xmlns:a="http://schemas.openxmlformats.org/drawingml/2006/main">
                    <a:graphicData uri="http://schemas.openxmlformats.org/drawingml/2006/picture">
                      <pic:pic xmlns:pic="http://schemas.openxmlformats.org/drawingml/2006/picture">
                        <pic:nvPicPr>
                          <pic:cNvPr id="4" name="图片_9"/>
                          <pic:cNvPicPr/>
                        </pic:nvPicPr>
                        <pic:blipFill>
                          <a:blip r:embed="rId15"/>
                          <a:stretch>
                            <a:fillRect/>
                          </a:stretch>
                        </pic:blipFill>
                        <pic:spPr>
                          <a:xfrm>
                            <a:off x="0" y="0"/>
                            <a:ext cx="1095375" cy="828675"/>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精品磨砂贴</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管理处公共标识牌</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1038225" cy="762000"/>
                  <wp:effectExtent l="0" t="0" r="9525" b="0"/>
                  <wp:wrapNone/>
                  <wp:docPr id="5" name="图片_10"/>
                  <wp:cNvGraphicFramePr/>
                  <a:graphic xmlns:a="http://schemas.openxmlformats.org/drawingml/2006/main">
                    <a:graphicData uri="http://schemas.openxmlformats.org/drawingml/2006/picture">
                      <pic:pic xmlns:pic="http://schemas.openxmlformats.org/drawingml/2006/picture">
                        <pic:nvPicPr>
                          <pic:cNvPr id="5" name="图片_10"/>
                          <pic:cNvPicPr/>
                        </pic:nvPicPr>
                        <pic:blipFill>
                          <a:blip r:embed="rId16"/>
                          <a:stretch>
                            <a:fillRect/>
                          </a:stretch>
                        </pic:blipFill>
                        <pic:spPr>
                          <a:xfrm>
                            <a:off x="0" y="0"/>
                            <a:ext cx="1038225" cy="76200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长：200</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精品亚克力</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管理处导视</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942975" cy="704850"/>
                  <wp:effectExtent l="0" t="0" r="9525" b="0"/>
                  <wp:wrapNone/>
                  <wp:docPr id="10" name="图片_11"/>
                  <wp:cNvGraphicFramePr/>
                  <a:graphic xmlns:a="http://schemas.openxmlformats.org/drawingml/2006/main">
                    <a:graphicData uri="http://schemas.openxmlformats.org/drawingml/2006/picture">
                      <pic:pic xmlns:pic="http://schemas.openxmlformats.org/drawingml/2006/picture">
                        <pic:nvPicPr>
                          <pic:cNvPr id="10" name="图片_11"/>
                          <pic:cNvPicPr/>
                        </pic:nvPicPr>
                        <pic:blipFill>
                          <a:blip r:embed="rId17"/>
                          <a:stretch>
                            <a:fillRect/>
                          </a:stretch>
                        </pic:blipFill>
                        <pic:spPr>
                          <a:xfrm>
                            <a:off x="0" y="0"/>
                            <a:ext cx="942975" cy="70485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精品不锈钢</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管理中心制度展板</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104900" cy="1123950"/>
                  <wp:effectExtent l="0" t="0" r="0" b="0"/>
                  <wp:wrapNone/>
                  <wp:docPr id="6" name="图片_12"/>
                  <wp:cNvGraphicFramePr/>
                  <a:graphic xmlns:a="http://schemas.openxmlformats.org/drawingml/2006/main">
                    <a:graphicData uri="http://schemas.openxmlformats.org/drawingml/2006/picture">
                      <pic:pic xmlns:pic="http://schemas.openxmlformats.org/drawingml/2006/picture">
                        <pic:nvPicPr>
                          <pic:cNvPr id="6" name="图片_12"/>
                          <pic:cNvPicPr/>
                        </pic:nvPicPr>
                        <pic:blipFill>
                          <a:blip r:embed="rId18"/>
                          <a:stretch>
                            <a:fillRect/>
                          </a:stretch>
                        </pic:blipFill>
                        <pic:spPr>
                          <a:xfrm>
                            <a:off x="0" y="0"/>
                            <a:ext cx="1104900" cy="1123950"/>
                          </a:xfrm>
                          <a:prstGeom prst="rect">
                            <a:avLst/>
                          </a:prstGeom>
                          <a:noFill/>
                          <a:ln>
                            <a:noFill/>
                          </a:ln>
                        </pic:spPr>
                      </pic:pic>
                    </a:graphicData>
                  </a:graphic>
                </wp:anchor>
              </w:drawing>
            </w:r>
          </w:p>
        </w:tc>
        <w:tc>
          <w:tcPr>
            <w:tcW w:w="1695" w:type="dxa"/>
            <w:tcBorders>
              <w:top w:val="nil"/>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长：900</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精品亚克力+型材边框</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宽：600</w:t>
            </w: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single" w:color="000000" w:sz="8" w:space="0"/>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管理中心食堂标识</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143000" cy="1181100"/>
                  <wp:effectExtent l="0" t="0" r="0" b="0"/>
                  <wp:wrapNone/>
                  <wp:docPr id="7" name="图片_13"/>
                  <wp:cNvGraphicFramePr/>
                  <a:graphic xmlns:a="http://schemas.openxmlformats.org/drawingml/2006/main">
                    <a:graphicData uri="http://schemas.openxmlformats.org/drawingml/2006/picture">
                      <pic:pic xmlns:pic="http://schemas.openxmlformats.org/drawingml/2006/picture">
                        <pic:nvPicPr>
                          <pic:cNvPr id="7" name="图片_13"/>
                          <pic:cNvPicPr/>
                        </pic:nvPicPr>
                        <pic:blipFill>
                          <a:blip r:embed="rId19"/>
                          <a:stretch>
                            <a:fillRect/>
                          </a:stretch>
                        </pic:blipFill>
                        <pic:spPr>
                          <a:xfrm>
                            <a:off x="0" y="0"/>
                            <a:ext cx="1143000" cy="1181100"/>
                          </a:xfrm>
                          <a:prstGeom prst="rect">
                            <a:avLst/>
                          </a:prstGeom>
                          <a:noFill/>
                          <a:ln>
                            <a:noFill/>
                          </a:ln>
                        </pic:spPr>
                      </pic:pic>
                    </a:graphicData>
                  </a:graphic>
                </wp:anchor>
              </w:drawing>
            </w:r>
          </w:p>
        </w:tc>
        <w:tc>
          <w:tcPr>
            <w:tcW w:w="1695" w:type="dxa"/>
            <w:tcBorders>
              <w:top w:val="nil"/>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长：350</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精品亚克力</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宽：150</w:t>
            </w: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single" w:color="000000" w:sz="8" w:space="0"/>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管理中心食堂文化展板</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028700" cy="781050"/>
                  <wp:effectExtent l="0" t="0" r="0" b="0"/>
                  <wp:wrapNone/>
                  <wp:docPr id="11" name="图片_14"/>
                  <wp:cNvGraphicFramePr/>
                  <a:graphic xmlns:a="http://schemas.openxmlformats.org/drawingml/2006/main">
                    <a:graphicData uri="http://schemas.openxmlformats.org/drawingml/2006/picture">
                      <pic:pic xmlns:pic="http://schemas.openxmlformats.org/drawingml/2006/picture">
                        <pic:nvPicPr>
                          <pic:cNvPr id="11" name="图片_14"/>
                          <pic:cNvPicPr/>
                        </pic:nvPicPr>
                        <pic:blipFill>
                          <a:blip r:embed="rId20"/>
                          <a:stretch>
                            <a:fillRect/>
                          </a:stretch>
                        </pic:blipFill>
                        <pic:spPr>
                          <a:xfrm>
                            <a:off x="0" y="0"/>
                            <a:ext cx="1028700" cy="78105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400*600</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精品亚克力+装饰钉+写真海报</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管理中心食堂制度展板</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028700" cy="828675"/>
                  <wp:effectExtent l="0" t="0" r="0" b="9525"/>
                  <wp:wrapNone/>
                  <wp:docPr id="16" name="图片_15"/>
                  <wp:cNvGraphicFramePr/>
                  <a:graphic xmlns:a="http://schemas.openxmlformats.org/drawingml/2006/main">
                    <a:graphicData uri="http://schemas.openxmlformats.org/drawingml/2006/picture">
                      <pic:pic xmlns:pic="http://schemas.openxmlformats.org/drawingml/2006/picture">
                        <pic:nvPicPr>
                          <pic:cNvPr id="16" name="图片_15"/>
                          <pic:cNvPicPr/>
                        </pic:nvPicPr>
                        <pic:blipFill>
                          <a:blip r:embed="rId21"/>
                          <a:stretch>
                            <a:fillRect/>
                          </a:stretch>
                        </pic:blipFill>
                        <pic:spPr>
                          <a:xfrm>
                            <a:off x="0" y="0"/>
                            <a:ext cx="1028700" cy="828675"/>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1150*1600</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PVC+精品亚克力</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一楼会议室背景墙</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381125" cy="819150"/>
                  <wp:effectExtent l="0" t="0" r="9525" b="0"/>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22"/>
                          <a:stretch>
                            <a:fillRect/>
                          </a:stretch>
                        </pic:blipFill>
                        <pic:spPr>
                          <a:xfrm>
                            <a:off x="0" y="0"/>
                            <a:ext cx="1381125" cy="81915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高3米长5.5米</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亚克力立体字</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cm</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686</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69"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蓝色铝塑板面板+轻钢龙骨（16.5㎡）</w:t>
            </w:r>
          </w:p>
          <w:p>
            <w:pPr>
              <w:pStyle w:val="2"/>
              <w:rPr>
                <w:rFonts w:hint="eastAsia"/>
              </w:rPr>
            </w:pPr>
          </w:p>
        </w:tc>
        <w:tc>
          <w:tcPr>
            <w:tcW w:w="108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117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二楼会议室背景墙</w:t>
            </w:r>
          </w:p>
        </w:tc>
        <w:tc>
          <w:tcPr>
            <w:tcW w:w="277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1381125" cy="819150"/>
                  <wp:effectExtent l="0" t="0" r="9525" b="0"/>
                  <wp:wrapNone/>
                  <wp:docPr id="17" name="图片_17"/>
                  <wp:cNvGraphicFramePr/>
                  <a:graphic xmlns:a="http://schemas.openxmlformats.org/drawingml/2006/main">
                    <a:graphicData uri="http://schemas.openxmlformats.org/drawingml/2006/picture">
                      <pic:pic xmlns:pic="http://schemas.openxmlformats.org/drawingml/2006/picture">
                        <pic:nvPicPr>
                          <pic:cNvPr id="17" name="图片_17"/>
                          <pic:cNvPicPr/>
                        </pic:nvPicPr>
                        <pic:blipFill>
                          <a:blip r:embed="rId23"/>
                          <a:stretch>
                            <a:fillRect/>
                          </a:stretch>
                        </pic:blipFill>
                        <pic:spPr>
                          <a:xfrm>
                            <a:off x="0" y="0"/>
                            <a:ext cx="1381125" cy="819150"/>
                          </a:xfrm>
                          <a:prstGeom prst="rect">
                            <a:avLst/>
                          </a:prstGeom>
                          <a:noFill/>
                          <a:ln>
                            <a:noFill/>
                          </a:ln>
                        </pic:spPr>
                      </pic:pic>
                    </a:graphicData>
                  </a:graphic>
                </wp:anchor>
              </w:drawing>
            </w:r>
          </w:p>
        </w:tc>
        <w:tc>
          <w:tcPr>
            <w:tcW w:w="1695"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高5米长5.5米</w:t>
            </w:r>
          </w:p>
        </w:tc>
        <w:tc>
          <w:tcPr>
            <w:tcW w:w="261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亚克力立体字</w:t>
            </w:r>
          </w:p>
        </w:tc>
        <w:tc>
          <w:tcPr>
            <w:tcW w:w="108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cm</w:t>
            </w:r>
          </w:p>
        </w:tc>
        <w:tc>
          <w:tcPr>
            <w:tcW w:w="117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686</w:t>
            </w:r>
          </w:p>
        </w:tc>
        <w:tc>
          <w:tcPr>
            <w:tcW w:w="1752"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3"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70"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2"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69" w:hRule="atLeast"/>
        </w:trPr>
        <w:tc>
          <w:tcPr>
            <w:tcW w:w="724"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79"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1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蓝色铝塑板面板+轻钢龙骨（27.5平方）</w:t>
            </w:r>
          </w:p>
        </w:tc>
        <w:tc>
          <w:tcPr>
            <w:tcW w:w="108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7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27.5</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823" w:type="dxa"/>
            <w:gridSpan w:val="6"/>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共计费用（包含运输安装）</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singl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0823" w:type="dxa"/>
            <w:gridSpan w:val="6"/>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税费（13%）</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823" w:type="dxa"/>
            <w:gridSpan w:val="6"/>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含税合计</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52"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0823" w:type="dxa"/>
            <w:gridSpan w:val="6"/>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（本部办公区+沐川管理处）不含税总计</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72" w:hRule="atLeast"/>
        </w:trPr>
        <w:tc>
          <w:tcPr>
            <w:tcW w:w="72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823" w:type="dxa"/>
            <w:gridSpan w:val="6"/>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（本部办公区+沐川管理处）含税（13%）总计</w:t>
            </w:r>
          </w:p>
        </w:tc>
        <w:tc>
          <w:tcPr>
            <w:tcW w:w="175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1"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highlight w:val="none"/>
        </w:rPr>
        <w:sectPr>
          <w:pgSz w:w="16838" w:h="11906" w:orient="landscape"/>
          <w:pgMar w:top="1803" w:right="1440" w:bottom="1803" w:left="1440" w:header="851" w:footer="992" w:gutter="0"/>
          <w:pgNumType w:fmt="decimal"/>
          <w:cols w:space="720" w:num="1"/>
          <w:docGrid w:type="lines" w:linePitch="319" w:charSpace="0"/>
        </w:sectPr>
      </w:pPr>
    </w:p>
    <w:p>
      <w:pPr>
        <w:sectPr>
          <w:pgSz w:w="11906" w:h="16838"/>
          <w:pgMar w:top="1440" w:right="1803" w:bottom="1440" w:left="1803" w:header="851" w:footer="992" w:gutter="0"/>
          <w:pgNumType w:fmt="decimal"/>
          <w:cols w:space="720" w:num="1"/>
          <w:docGrid w:type="lines" w:linePitch="319" w:charSpace="0"/>
        </w:sectPr>
      </w:pPr>
    </w:p>
    <w:p>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pPr>
        <w:tabs>
          <w:tab w:val="left" w:pos="1500"/>
        </w:tabs>
        <w:spacing w:line="360" w:lineRule="auto"/>
        <w:rPr>
          <w:rFonts w:hint="eastAsia" w:ascii="宋体" w:hAnsi="宋体"/>
          <w:color w:val="auto"/>
          <w:sz w:val="24"/>
          <w:highlight w:val="none"/>
        </w:rPr>
      </w:pPr>
    </w:p>
    <w:p>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pPr>
        <w:pStyle w:val="10"/>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pPr>
        <w:pStyle w:val="10"/>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pPr>
        <w:tabs>
          <w:tab w:val="left" w:pos="1500"/>
        </w:tabs>
        <w:spacing w:line="360" w:lineRule="auto"/>
        <w:ind w:left="1500"/>
        <w:jc w:val="center"/>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pPr>
        <w:spacing w:line="360" w:lineRule="auto"/>
        <w:rPr>
          <w:rFonts w:hint="eastAsia" w:ascii="宋体" w:hAnsi="宋体"/>
          <w:color w:val="auto"/>
          <w:sz w:val="24"/>
          <w:highlight w:val="none"/>
        </w:rPr>
      </w:pPr>
    </w:p>
    <w:p>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pPr>
        <w:spacing w:line="360" w:lineRule="auto"/>
        <w:jc w:val="center"/>
        <w:rPr>
          <w:rFonts w:hint="eastAsia"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7"/>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vAlign w:val="center"/>
          </w:tcPr>
          <w:p>
            <w:pPr>
              <w:spacing w:line="360" w:lineRule="auto"/>
              <w:ind w:firstLine="480" w:firstLineChars="20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vAlign w:val="center"/>
          </w:tcPr>
          <w:p>
            <w:pPr>
              <w:spacing w:line="360" w:lineRule="auto"/>
              <w:jc w:val="center"/>
              <w:rPr>
                <w:rFonts w:hint="eastAsia" w:ascii="宋体" w:hAnsi="宋体"/>
                <w:color w:val="auto"/>
                <w:sz w:val="24"/>
                <w:highlight w:val="none"/>
              </w:rPr>
            </w:pPr>
          </w:p>
        </w:tc>
        <w:tc>
          <w:tcPr>
            <w:tcW w:w="1800"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vAlign w:val="center"/>
          </w:tcPr>
          <w:p>
            <w:pPr>
              <w:spacing w:line="360" w:lineRule="auto"/>
              <w:jc w:val="center"/>
              <w:rPr>
                <w:rFonts w:hint="eastAsia" w:ascii="宋体" w:hAnsi="宋体"/>
                <w:color w:val="auto"/>
                <w:sz w:val="24"/>
                <w:highlight w:val="none"/>
              </w:rPr>
            </w:pPr>
          </w:p>
        </w:tc>
      </w:tr>
    </w:tbl>
    <w:p>
      <w:pPr>
        <w:spacing w:line="360" w:lineRule="auto"/>
        <w:ind w:left="479" w:leftChars="114" w:hanging="240" w:hangingChars="100"/>
        <w:rPr>
          <w:rFonts w:hint="eastAsia" w:ascii="宋体" w:hAnsi="宋体"/>
          <w:color w:val="auto"/>
          <w:sz w:val="24"/>
          <w:highlight w:val="none"/>
        </w:rPr>
      </w:pPr>
    </w:p>
    <w:p>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pPr>
        <w:pStyle w:val="3"/>
        <w:numPr>
          <w:ilvl w:val="0"/>
          <w:numId w:val="0"/>
        </w:numPr>
        <w:spacing w:line="270" w:lineRule="auto"/>
        <w:ind w:leftChars="0"/>
        <w:jc w:val="center"/>
        <w:rPr>
          <w:rFonts w:ascii="等线" w:hAnsi="等线"/>
          <w:color w:val="auto"/>
          <w:sz w:val="30"/>
          <w:highlight w:val="none"/>
        </w:rPr>
      </w:pPr>
      <w:r>
        <w:rPr>
          <w:rFonts w:ascii="宋体" w:hAnsi="宋体"/>
          <w:color w:val="auto"/>
          <w:sz w:val="24"/>
          <w:highlight w:val="none"/>
        </w:rPr>
        <w:br w:type="page"/>
      </w:r>
      <w:bookmarkStart w:id="0" w:name="page154"/>
      <w:bookmarkEnd w:id="0"/>
      <w:bookmarkStart w:id="1" w:name="_Toc256000049"/>
      <w:r>
        <w:rPr>
          <w:rFonts w:hint="eastAsia" w:ascii="等线" w:hAnsi="等线" w:eastAsia="宋体" w:cs="Times New Roman"/>
          <w:b/>
          <w:color w:val="auto"/>
          <w:sz w:val="30"/>
          <w:highlight w:val="none"/>
          <w:lang w:val="en-US" w:eastAsia="zh-CN"/>
        </w:rPr>
        <w:t>五</w:t>
      </w:r>
      <w:r>
        <w:rPr>
          <w:rFonts w:hint="eastAsia" w:ascii="等线" w:hAnsi="等线" w:eastAsia="宋体" w:cs="Times New Roman"/>
          <w:b/>
          <w:color w:val="auto"/>
          <w:sz w:val="30"/>
          <w:highlight w:val="none"/>
        </w:rPr>
        <w:t>、比选申请</w:t>
      </w:r>
      <w:r>
        <w:rPr>
          <w:rFonts w:hint="eastAsia" w:ascii="等线" w:hAnsi="等线"/>
          <w:color w:val="auto"/>
          <w:sz w:val="30"/>
          <w:highlight w:val="none"/>
        </w:rPr>
        <w:t>人承揽业绩情况表</w:t>
      </w:r>
      <w:bookmarkEnd w:id="1"/>
    </w:p>
    <w:p>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vAlign w:val="center"/>
          </w:tcPr>
          <w:p>
            <w:pPr>
              <w:spacing w:line="360" w:lineRule="auto"/>
              <w:jc w:val="center"/>
              <w:rPr>
                <w:rFonts w:ascii="等线" w:hAnsi="等线"/>
                <w:color w:val="auto"/>
                <w:szCs w:val="21"/>
                <w:highlight w:val="none"/>
              </w:rPr>
            </w:pPr>
          </w:p>
        </w:tc>
      </w:tr>
    </w:tbl>
    <w:p>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pPr>
        <w:tabs>
          <w:tab w:val="left" w:pos="1500"/>
        </w:tabs>
        <w:spacing w:line="360" w:lineRule="auto"/>
        <w:jc w:val="left"/>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等线" w:hAnsi="等线" w:eastAsia="宋体" w:cs="Times New Roman"/>
          <w:b/>
          <w:color w:val="auto"/>
          <w:kern w:val="0"/>
          <w:sz w:val="30"/>
          <w:szCs w:val="20"/>
          <w:highlight w:val="none"/>
          <w:lang w:val="en-US" w:eastAsia="zh-CN" w:bidi="ar-SA"/>
        </w:rPr>
        <w:t>六、项目实施方案</w:t>
      </w:r>
    </w:p>
    <w:p>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pPr>
        <w:spacing w:line="360" w:lineRule="auto"/>
        <w:jc w:val="left"/>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pPr>
        <w:tabs>
          <w:tab w:val="left" w:pos="1500"/>
        </w:tabs>
        <w:spacing w:line="360" w:lineRule="auto"/>
        <w:jc w:val="center"/>
        <w:rPr>
          <w:rFonts w:hint="eastAsia" w:ascii="等线" w:hAnsi="等线" w:eastAsia="宋体" w:cs="Times New Roman"/>
          <w:b/>
          <w:color w:val="auto"/>
          <w:kern w:val="0"/>
          <w:sz w:val="30"/>
          <w:szCs w:val="20"/>
          <w:highlight w:val="none"/>
          <w:lang w:val="en-US" w:eastAsia="zh-CN" w:bidi="ar-SA"/>
        </w:rPr>
      </w:pPr>
      <w:r>
        <w:rPr>
          <w:rFonts w:hint="eastAsia" w:ascii="等线" w:hAnsi="等线" w:eastAsia="宋体" w:cs="Times New Roman"/>
          <w:b/>
          <w:color w:val="auto"/>
          <w:kern w:val="0"/>
          <w:sz w:val="30"/>
          <w:szCs w:val="20"/>
          <w:highlight w:val="none"/>
          <w:lang w:val="en-US" w:eastAsia="zh-CN" w:bidi="ar-SA"/>
        </w:rPr>
        <w:t>七、其它</w:t>
      </w:r>
    </w:p>
    <w:p>
      <w:pPr>
        <w:pStyle w:val="11"/>
        <w:rPr>
          <w:color w:val="auto"/>
          <w:highlight w:val="none"/>
        </w:rPr>
      </w:pPr>
      <w:r>
        <w:rPr>
          <w:rFonts w:hint="eastAsia"/>
          <w:color w:val="auto"/>
          <w:highlight w:val="none"/>
        </w:rPr>
        <w:t>1、信誉承诺</w:t>
      </w:r>
    </w:p>
    <w:p>
      <w:pPr>
        <w:pStyle w:val="11"/>
        <w:rPr>
          <w:color w:val="auto"/>
          <w:highlight w:val="none"/>
        </w:rPr>
      </w:pPr>
    </w:p>
    <w:p>
      <w:pPr>
        <w:pStyle w:val="10"/>
        <w:spacing w:line="360" w:lineRule="auto"/>
        <w:ind w:firstLine="480"/>
        <w:jc w:val="center"/>
        <w:rPr>
          <w:color w:val="auto"/>
          <w:sz w:val="24"/>
          <w:szCs w:val="24"/>
          <w:highlight w:val="none"/>
        </w:rPr>
      </w:pPr>
    </w:p>
    <w:p>
      <w:pPr>
        <w:pStyle w:val="10"/>
        <w:spacing w:line="360" w:lineRule="auto"/>
        <w:ind w:firstLine="480"/>
        <w:jc w:val="center"/>
        <w:rPr>
          <w:color w:val="auto"/>
          <w:sz w:val="24"/>
          <w:szCs w:val="24"/>
          <w:highlight w:val="none"/>
        </w:rPr>
      </w:pPr>
      <w:r>
        <w:rPr>
          <w:rFonts w:hint="eastAsia"/>
          <w:color w:val="auto"/>
          <w:sz w:val="24"/>
          <w:szCs w:val="24"/>
          <w:highlight w:val="none"/>
        </w:rPr>
        <w:t>信誉承诺</w:t>
      </w:r>
    </w:p>
    <w:p>
      <w:pPr>
        <w:pStyle w:val="10"/>
        <w:spacing w:line="360" w:lineRule="auto"/>
        <w:ind w:firstLine="480"/>
        <w:jc w:val="center"/>
        <w:rPr>
          <w:color w:val="auto"/>
          <w:sz w:val="24"/>
          <w:szCs w:val="24"/>
          <w:highlight w:val="none"/>
        </w:rPr>
      </w:pPr>
    </w:p>
    <w:p>
      <w:pPr>
        <w:pStyle w:val="10"/>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pPr>
        <w:pStyle w:val="10"/>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pPr>
        <w:pStyle w:val="10"/>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pPr>
        <w:pStyle w:val="10"/>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pPr>
        <w:pStyle w:val="10"/>
        <w:spacing w:line="360" w:lineRule="auto"/>
        <w:ind w:firstLine="630" w:firstLineChars="300"/>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(5)我单位提供的的比选申请文件中的相关材料必须真实、合法、有效，没有弄虚作假。</w:t>
      </w:r>
    </w:p>
    <w:p>
      <w:pPr>
        <w:pStyle w:val="10"/>
        <w:spacing w:line="360" w:lineRule="auto"/>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（6）我单位与比选人（其余比选申请人）不存在利害关系。</w:t>
      </w:r>
    </w:p>
    <w:p>
      <w:pPr>
        <w:pStyle w:val="10"/>
        <w:spacing w:line="360" w:lineRule="auto"/>
        <w:rPr>
          <w:rFonts w:hint="default"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（7）我单位法定代表人与比选人（其余比选申请人）不为同一人；不存在控股、管理关系。</w:t>
      </w:r>
    </w:p>
    <w:p>
      <w:pPr>
        <w:pStyle w:val="11"/>
        <w:rPr>
          <w:rFonts w:ascii="等线" w:hAnsi="等线"/>
          <w:color w:val="auto"/>
          <w:szCs w:val="21"/>
          <w:highlight w:val="none"/>
        </w:rPr>
      </w:pPr>
    </w:p>
    <w:p>
      <w:pPr>
        <w:pStyle w:val="11"/>
        <w:rPr>
          <w:rFonts w:ascii="等线" w:hAnsi="等线"/>
          <w:color w:val="auto"/>
          <w:szCs w:val="21"/>
          <w:highlight w:val="none"/>
        </w:rPr>
      </w:pPr>
    </w:p>
    <w:p>
      <w:pPr>
        <w:pStyle w:val="11"/>
        <w:rPr>
          <w:rFonts w:ascii="等线" w:hAnsi="等线"/>
          <w:color w:val="auto"/>
          <w:szCs w:val="21"/>
          <w:highlight w:val="none"/>
        </w:rPr>
      </w:pPr>
    </w:p>
    <w:p>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rPr>
          <w:rFonts w:hint="eastAsia" w:ascii="宋体" w:hAnsi="宋体" w:cs="仿宋_GB2312"/>
          <w:color w:val="auto"/>
          <w:sz w:val="24"/>
          <w:highlight w:val="none"/>
        </w:rPr>
      </w:pPr>
    </w:p>
    <w:p>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p>
    <w:p>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1"/>
          <w:szCs w:val="22"/>
          <w:highlight w:val="none"/>
          <w:lang w:val="en-US" w:eastAsia="zh-CN" w:bidi="ar-SA"/>
        </w:rPr>
        <w:t>相关信用截图</w:t>
      </w:r>
    </w:p>
    <w:p>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sectPr>
      <w:footerReference r:id="rId5" w:type="first"/>
      <w:headerReference r:id="rId3" w:type="default"/>
      <w:footerReference r:id="rId4" w:type="default"/>
      <w:type w:val="continuous"/>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思源黑体 CN Normal">
    <w:altName w:val="黑体"/>
    <w:panose1 w:val="00000000000000000000"/>
    <w:charset w:val="00"/>
    <w:family w:val="auto"/>
    <w:pitch w:val="default"/>
    <w:sig w:usb0="00000000" w:usb1="00000000" w:usb2="00000000" w:usb3="00000000" w:csb0="00040001" w:csb1="00000000"/>
  </w:font>
  <w:font w:name="Adobe 宋体 Std L">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59" w:rightChars="171" w:firstLine="3570" w:firstLineChars="1700"/>
      <w:rPr>
        <w:rFonts w:hint="eastAsia"/>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zU/0JbcBAABX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K/lnxbcBAABX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24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iPriority w:val="0"/>
    <w:pPr>
      <w:spacing w:line="540" w:lineRule="exact"/>
      <w:ind w:firstLine="570"/>
    </w:pPr>
    <w:rPr>
      <w:rFonts w:ascii="宋体" w:hAnsi="宋体"/>
      <w:sz w:val="24"/>
    </w:rPr>
  </w:style>
  <w:style w:type="paragraph" w:styleId="4">
    <w:name w:val="Normal Indent"/>
    <w:basedOn w:val="1"/>
    <w:qFormat/>
    <w:uiPriority w:val="0"/>
    <w:pPr>
      <w:widowControl/>
      <w:ind w:firstLine="420"/>
      <w:jc w:val="left"/>
    </w:pPr>
    <w:rPr>
      <w:kern w:val="0"/>
      <w:sz w:val="20"/>
      <w:szCs w:val="20"/>
    </w:rPr>
  </w:style>
  <w:style w:type="paragraph" w:styleId="5">
    <w:name w:val="footer"/>
    <w:basedOn w:val="1"/>
    <w:uiPriority w:val="0"/>
    <w:pPr>
      <w:tabs>
        <w:tab w:val="center" w:pos="4153"/>
        <w:tab w:val="right" w:pos="8306"/>
      </w:tabs>
      <w:snapToGrid w:val="0"/>
      <w:jc w:val="left"/>
    </w:pPr>
    <w:rPr>
      <w:sz w:val="18"/>
      <w:szCs w:val="18"/>
    </w:rPr>
  </w:style>
  <w:style w:type="character" w:customStyle="1" w:styleId="8">
    <w:name w:val="font41"/>
    <w:basedOn w:val="6"/>
    <w:uiPriority w:val="0"/>
    <w:rPr>
      <w:rFonts w:hint="eastAsia" w:ascii="宋体" w:hAnsi="宋体" w:eastAsia="宋体" w:cs="宋体"/>
      <w:color w:val="000000"/>
      <w:sz w:val="24"/>
      <w:szCs w:val="24"/>
      <w:u w:val="none"/>
    </w:rPr>
  </w:style>
  <w:style w:type="character" w:customStyle="1" w:styleId="9">
    <w:name w:val="font31"/>
    <w:basedOn w:val="6"/>
    <w:uiPriority w:val="0"/>
    <w:rPr>
      <w:rFonts w:hint="eastAsia" w:ascii="宋体" w:hAnsi="宋体" w:eastAsia="宋体" w:cs="宋体"/>
      <w:color w:val="000000"/>
      <w:sz w:val="22"/>
      <w:szCs w:val="22"/>
      <w:u w:val="none"/>
    </w:rPr>
  </w:style>
  <w:style w:type="paragraph" w:styleId="10">
    <w:name w:val="List Paragraph"/>
    <w:basedOn w:val="1"/>
    <w:qFormat/>
    <w:uiPriority w:val="34"/>
    <w:pPr>
      <w:ind w:firstLine="420" w:firstLineChars="200"/>
    </w:pPr>
    <w:rPr>
      <w:rFonts w:ascii="Calibri" w:hAnsi="Calibri" w:eastAsia="宋体" w:cs="Times New Roman"/>
      <w:szCs w:val="22"/>
    </w:rPr>
  </w:style>
  <w:style w:type="paragraph" w:customStyle="1" w:styleId="11">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黄燕,huangy</cp:lastModifiedBy>
  <dcterms:modified xsi:type="dcterms:W3CDTF">2025-11-10T03:32:20Z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