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44"/>
          <w:szCs w:val="44"/>
          <w:highlight w:val="none"/>
          <w:lang w:eastAsia="zh-CN"/>
        </w:rPr>
      </w:pPr>
    </w:p>
    <w:p>
      <w:pPr>
        <w:jc w:val="center"/>
        <w:rPr>
          <w:rFonts w:hint="eastAsia" w:ascii="仿宋" w:hAnsi="仿宋" w:eastAsia="仿宋"/>
          <w:color w:val="auto"/>
          <w:sz w:val="44"/>
          <w:szCs w:val="44"/>
          <w:highlight w:val="none"/>
          <w:lang w:eastAsia="zh-CN"/>
        </w:rPr>
      </w:pPr>
    </w:p>
    <w:p>
      <w:pPr>
        <w:jc w:val="center"/>
        <w:rPr>
          <w:rFonts w:hint="eastAsia" w:ascii="仿宋" w:hAnsi="仿宋" w:eastAsia="仿宋"/>
          <w:color w:val="auto"/>
          <w:sz w:val="44"/>
          <w:szCs w:val="44"/>
          <w:highlight w:val="none"/>
          <w:lang w:eastAsia="zh-CN"/>
        </w:rPr>
      </w:pPr>
    </w:p>
    <w:p>
      <w:pPr>
        <w:jc w:val="center"/>
        <w:rPr>
          <w:rFonts w:hint="eastAsia" w:ascii="仿宋" w:hAnsi="仿宋" w:eastAsia="仿宋"/>
          <w:color w:val="auto"/>
          <w:sz w:val="44"/>
          <w:szCs w:val="44"/>
          <w:highlight w:val="none"/>
          <w:lang w:eastAsia="zh-CN"/>
        </w:rPr>
      </w:pPr>
    </w:p>
    <w:p>
      <w:pPr>
        <w:jc w:val="center"/>
        <w:rPr>
          <w:rFonts w:hint="eastAsia"/>
          <w:color w:val="auto"/>
          <w:highlight w:val="none"/>
        </w:rPr>
      </w:pPr>
      <w:bookmarkStart w:id="2" w:name="_GoBack"/>
      <w:bookmarkEnd w:id="2"/>
      <w:r>
        <w:rPr>
          <w:rFonts w:hint="eastAsia" w:ascii="仿宋" w:hAnsi="仿宋" w:eastAsia="仿宋"/>
          <w:color w:val="auto"/>
          <w:sz w:val="44"/>
          <w:szCs w:val="44"/>
          <w:highlight w:val="none"/>
          <w:lang w:eastAsia="zh-CN"/>
        </w:rPr>
        <w:t>攀盐高速驻地办公区装饰装修工程劳务协作</w:t>
      </w:r>
    </w:p>
    <w:p>
      <w:pPr>
        <w:rPr>
          <w:rFonts w:hint="eastAsia"/>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sz w:val="18"/>
          <w:highlight w:val="none"/>
        </w:rPr>
      </w:pPr>
    </w:p>
    <w:p>
      <w:pPr>
        <w:rPr>
          <w:color w:val="auto"/>
          <w:sz w:val="18"/>
          <w:highlight w:val="none"/>
        </w:rPr>
      </w:pPr>
    </w:p>
    <w:p>
      <w:pPr>
        <w:pStyle w:val="2"/>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rPr>
        <w:t>2025年   月   日</w:t>
      </w:r>
      <w:r>
        <w:rPr>
          <w:rFonts w:ascii="仿宋" w:hAnsi="仿宋" w:eastAsia="仿宋"/>
          <w:color w:val="auto"/>
          <w:highlight w:val="none"/>
        </w:rPr>
        <w:br w:type="page"/>
      </w:r>
    </w:p>
    <w:p>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pPr>
        <w:pStyle w:val="3"/>
        <w:ind w:firstLine="0"/>
        <w:jc w:val="center"/>
        <w:rPr>
          <w:rFonts w:hint="eastAsia" w:ascii="宋体" w:hAnsi="宋体"/>
          <w:color w:val="auto"/>
          <w:sz w:val="30"/>
          <w:szCs w:val="30"/>
          <w:highlight w:val="none"/>
        </w:rPr>
      </w:pPr>
    </w:p>
    <w:p>
      <w:pPr>
        <w:pStyle w:val="3"/>
        <w:jc w:val="center"/>
        <w:rPr>
          <w:rFonts w:hint="eastAsia" w:ascii="仿宋" w:hAnsi="仿宋" w:eastAsia="仿宋"/>
          <w:b/>
          <w:color w:val="auto"/>
          <w:sz w:val="32"/>
          <w:szCs w:val="32"/>
          <w:highlight w:val="none"/>
        </w:rPr>
      </w:pP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pPr>
        <w:tabs>
          <w:tab w:val="left" w:pos="1500"/>
        </w:tabs>
        <w:spacing w:line="360" w:lineRule="auto"/>
        <w:rPr>
          <w:rFonts w:hint="eastAsia"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pPr>
        <w:spacing w:line="360" w:lineRule="auto"/>
        <w:jc w:val="center"/>
        <w:rPr>
          <w:rFonts w:hint="eastAsia" w:ascii="宋体" w:hAnsi="宋体"/>
          <w:color w:val="auto"/>
          <w:sz w:val="24"/>
          <w:highlight w:val="none"/>
        </w:rPr>
      </w:pPr>
    </w:p>
    <w:p>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四川道宇建设实业有限公司</w:t>
      </w:r>
      <w:r>
        <w:rPr>
          <w:rFonts w:hint="eastAsia" w:ascii="宋体" w:hAnsi="宋体"/>
          <w:color w:val="auto"/>
          <w:sz w:val="24"/>
          <w:highlight w:val="none"/>
        </w:rPr>
        <w:t>按照贵方</w:t>
      </w:r>
      <w:r>
        <w:rPr>
          <w:rFonts w:hint="eastAsia" w:ascii="宋体" w:hAnsi="宋体"/>
          <w:color w:val="auto"/>
          <w:sz w:val="24"/>
          <w:highlight w:val="none"/>
          <w:u w:val="single"/>
          <w:lang w:eastAsia="zh-CN"/>
        </w:rPr>
        <w:t>攀盐高速驻地办公区装饰装修工程劳务协作</w:t>
      </w:r>
      <w:r>
        <w:rPr>
          <w:rFonts w:hint="eastAsia" w:ascii="宋体" w:hAnsi="宋体"/>
          <w:color w:val="auto"/>
          <w:sz w:val="24"/>
          <w:highlight w:val="none"/>
        </w:rPr>
        <w:t>的要求，本文件签署人</w:t>
      </w:r>
      <w:r>
        <w:rPr>
          <w:rFonts w:hint="eastAsia" w:ascii="宋体" w:hAnsi="宋体"/>
          <w:color w:val="auto"/>
          <w:sz w:val="24"/>
          <w:highlight w:val="none"/>
          <w:u w:val="single"/>
        </w:rPr>
        <w:t xml:space="preserve">  （姓名）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（比选申请人的名称）递交下列文件的一份正本、一份副本给贵方。</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攀盐高速驻地办公区装饰装修工程劳务协作</w:t>
      </w:r>
      <w:r>
        <w:rPr>
          <w:rFonts w:hint="eastAsia" w:ascii="宋体" w:hAnsi="宋体"/>
          <w:color w:val="auto"/>
          <w:sz w:val="24"/>
          <w:highlight w:val="none"/>
          <w:u w:val="single"/>
        </w:rPr>
        <w:t>比选文件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）；税率</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%；不含税价：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）（报价清单附后），</w:t>
      </w:r>
      <w:r>
        <w:rPr>
          <w:rFonts w:hint="eastAsia" w:ascii="宋体" w:hAnsi="宋体"/>
          <w:color w:val="auto"/>
          <w:spacing w:val="-2"/>
          <w:sz w:val="24"/>
          <w:highlight w:val="none"/>
        </w:rPr>
        <w:t>比选申请报价，服务期：</w:t>
      </w:r>
      <w:r>
        <w:rPr>
          <w:rFonts w:hint="eastAsia" w:ascii="宋体" w:hAnsi="宋体"/>
          <w:color w:val="auto"/>
          <w:sz w:val="24"/>
          <w:highlight w:val="none"/>
          <w:u w:val="single"/>
          <w:lang w:val="en-US" w:eastAsia="zh-CN"/>
        </w:rPr>
        <w:t>40日历天</w:t>
      </w:r>
      <w:r>
        <w:rPr>
          <w:rFonts w:hint="eastAsia" w:ascii="宋体" w:hAnsi="宋体"/>
          <w:color w:val="auto"/>
          <w:spacing w:val="-2"/>
          <w:sz w:val="24"/>
          <w:highlight w:val="none"/>
        </w:rPr>
        <w:t>，</w:t>
      </w:r>
      <w:r>
        <w:rPr>
          <w:rFonts w:hint="eastAsia" w:ascii="宋体" w:hAnsi="宋体"/>
          <w:color w:val="auto"/>
          <w:spacing w:val="-2"/>
          <w:sz w:val="24"/>
          <w:highlight w:val="none"/>
          <w:lang w:val="en-US" w:eastAsia="zh-CN"/>
        </w:rPr>
        <w:t>服务</w:t>
      </w:r>
      <w:r>
        <w:rPr>
          <w:rFonts w:hint="eastAsia" w:ascii="宋体" w:hAnsi="宋体"/>
          <w:color w:val="auto"/>
          <w:spacing w:val="-2"/>
          <w:sz w:val="24"/>
          <w:highlight w:val="none"/>
        </w:rPr>
        <w:t>达到：</w:t>
      </w:r>
      <w:r>
        <w:rPr>
          <w:rFonts w:hint="eastAsia" w:ascii="宋体" w:hAnsi="宋体"/>
          <w:color w:val="auto"/>
          <w:sz w:val="24"/>
          <w:highlight w:val="none"/>
          <w:u w:val="single"/>
        </w:rPr>
        <w:t>满足合同要求</w:t>
      </w:r>
      <w:r>
        <w:rPr>
          <w:rFonts w:hint="eastAsia" w:ascii="宋体" w:hAnsi="宋体"/>
          <w:color w:val="auto"/>
          <w:spacing w:val="-2"/>
          <w:sz w:val="24"/>
          <w:highlight w:val="none"/>
          <w:u w:val="singl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pPr>
        <w:tabs>
          <w:tab w:val="left" w:pos="1500"/>
        </w:tabs>
        <w:spacing w:line="360" w:lineRule="auto"/>
        <w:ind w:left="-376" w:leftChars="-714" w:hanging="1123" w:hangingChars="468"/>
        <w:jc w:val="center"/>
        <w:rPr>
          <w:rFonts w:hint="eastAsia" w:ascii="宋体" w:hAnsi="宋体"/>
          <w:color w:val="auto"/>
          <w:sz w:val="24"/>
          <w:highlight w:val="none"/>
        </w:rPr>
        <w:sectPr>
          <w:headerReference r:id="rId3" w:type="default"/>
          <w:footerReference r:id="rId4" w:type="default"/>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r>
        <w:rPr>
          <w:rFonts w:hint="eastAsia" w:ascii="宋体" w:hAnsi="宋体"/>
          <w:color w:val="auto"/>
          <w:sz w:val="24"/>
          <w:highlight w:val="none"/>
        </w:rPr>
        <w:t xml:space="preserve">日 期：   </w:t>
      </w:r>
    </w:p>
    <w:p>
      <w:pPr>
        <w:tabs>
          <w:tab w:val="left" w:pos="1500"/>
        </w:tabs>
        <w:spacing w:line="360" w:lineRule="auto"/>
        <w:ind w:left="-292" w:leftChars="-139" w:firstLine="319" w:firstLineChars="133"/>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附件：报价清单</w:t>
      </w:r>
    </w:p>
    <w:p>
      <w:pPr>
        <w:tabs>
          <w:tab w:val="left" w:pos="1500"/>
        </w:tabs>
        <w:spacing w:line="360" w:lineRule="auto"/>
        <w:ind w:left="-292" w:leftChars="-139" w:firstLine="319" w:firstLineChars="133"/>
        <w:jc w:val="both"/>
        <w:rPr>
          <w:rFonts w:hint="eastAsia" w:ascii="宋体" w:hAnsi="宋体"/>
          <w:color w:val="auto"/>
          <w:sz w:val="24"/>
          <w:highlight w:val="none"/>
          <w:lang w:val="en-US" w:eastAsia="zh-CN"/>
        </w:rPr>
      </w:pPr>
    </w:p>
    <w:tbl>
      <w:tblPr>
        <w:tblStyle w:val="6"/>
        <w:tblW w:w="142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9"/>
        <w:gridCol w:w="2024"/>
        <w:gridCol w:w="1200"/>
        <w:gridCol w:w="5773"/>
        <w:gridCol w:w="915"/>
        <w:gridCol w:w="525"/>
        <w:gridCol w:w="1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949" w:type="dxa"/>
            <w:tcBorders>
              <w:top w:val="nil"/>
              <w:left w:val="nil"/>
              <w:bottom w:val="nil"/>
              <w:right w:val="nil"/>
            </w:tcBorders>
            <w:vAlign w:val="center"/>
          </w:tcPr>
          <w:p>
            <w:pPr>
              <w:jc w:val="center"/>
              <w:rPr>
                <w:rFonts w:hint="eastAsia" w:ascii="宋体" w:hAnsi="宋体" w:eastAsia="宋体" w:cs="宋体"/>
                <w:i w:val="0"/>
                <w:iCs w:val="0"/>
                <w:color w:val="000000"/>
                <w:sz w:val="44"/>
                <w:szCs w:val="44"/>
                <w:u w:val="none"/>
              </w:rPr>
            </w:pPr>
          </w:p>
        </w:tc>
        <w:tc>
          <w:tcPr>
            <w:tcW w:w="9912" w:type="dxa"/>
            <w:gridSpan w:val="4"/>
            <w:tcBorders>
              <w:top w:val="nil"/>
              <w:left w:val="nil"/>
              <w:bottom w:val="single" w:color="000000" w:sz="4" w:space="0"/>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攀盐高速驻地办公区装饰装修工程劳务协作单位</w:t>
            </w:r>
          </w:p>
        </w:tc>
        <w:tc>
          <w:tcPr>
            <w:tcW w:w="2399" w:type="dxa"/>
            <w:gridSpan w:val="2"/>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14260" w:type="dxa"/>
            <w:gridSpan w:val="7"/>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比选申请报价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3973"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比选申请报价(小写):</w:t>
            </w:r>
          </w:p>
        </w:tc>
        <w:tc>
          <w:tcPr>
            <w:tcW w:w="8413" w:type="dxa"/>
            <w:gridSpan w:val="4"/>
            <w:tcBorders>
              <w:top w:val="nil"/>
              <w:left w:val="nil"/>
              <w:bottom w:val="single" w:color="000000" w:sz="4" w:space="0"/>
              <w:right w:val="nil"/>
            </w:tcBorders>
            <w:vAlign w:val="bottom"/>
          </w:tcPr>
          <w:p>
            <w:pPr>
              <w:jc w:val="center"/>
              <w:rPr>
                <w:rFonts w:hint="eastAsia" w:ascii="宋体" w:hAnsi="宋体" w:eastAsia="宋体" w:cs="宋体"/>
                <w:i w:val="0"/>
                <w:iCs w:val="0"/>
                <w:color w:val="000000"/>
                <w:sz w:val="24"/>
                <w:szCs w:val="24"/>
                <w:u w:val="none"/>
              </w:rPr>
            </w:pPr>
          </w:p>
        </w:tc>
        <w:tc>
          <w:tcPr>
            <w:tcW w:w="1874" w:type="dxa"/>
            <w:tcBorders>
              <w:top w:val="nil"/>
              <w:left w:val="nil"/>
              <w:bottom w:val="nil"/>
              <w:right w:val="nil"/>
            </w:tcBorders>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3973" w:type="dxa"/>
            <w:gridSpan w:val="2"/>
            <w:vMerge w:val="restart"/>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w:t>
            </w:r>
          </w:p>
        </w:tc>
        <w:tc>
          <w:tcPr>
            <w:tcW w:w="8413" w:type="dxa"/>
            <w:gridSpan w:val="4"/>
            <w:vMerge w:val="restart"/>
            <w:tcBorders>
              <w:top w:val="nil"/>
              <w:left w:val="nil"/>
              <w:bottom w:val="single" w:color="000000" w:sz="4" w:space="0"/>
              <w:right w:val="nil"/>
            </w:tcBorders>
            <w:vAlign w:val="bottom"/>
          </w:tcPr>
          <w:p>
            <w:pPr>
              <w:jc w:val="center"/>
              <w:rPr>
                <w:rFonts w:hint="eastAsia" w:ascii="宋体" w:hAnsi="宋体" w:eastAsia="宋体" w:cs="宋体"/>
                <w:i w:val="0"/>
                <w:iCs w:val="0"/>
                <w:color w:val="000000"/>
                <w:sz w:val="24"/>
                <w:szCs w:val="24"/>
                <w:u w:val="none"/>
              </w:rPr>
            </w:pPr>
          </w:p>
        </w:tc>
        <w:tc>
          <w:tcPr>
            <w:tcW w:w="1874" w:type="dxa"/>
            <w:vMerge w:val="restart"/>
            <w:tcBorders>
              <w:top w:val="nil"/>
              <w:left w:val="nil"/>
              <w:bottom w:val="nil"/>
              <w:right w:val="nil"/>
            </w:tcBorders>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3973" w:type="dxa"/>
            <w:gridSpan w:val="2"/>
            <w:vMerge w:val="continue"/>
            <w:tcBorders>
              <w:top w:val="nil"/>
              <w:left w:val="nil"/>
              <w:bottom w:val="nil"/>
              <w:right w:val="nil"/>
            </w:tcBorders>
            <w:vAlign w:val="bottom"/>
          </w:tcPr>
          <w:p>
            <w:pPr>
              <w:jc w:val="right"/>
              <w:rPr>
                <w:rFonts w:hint="eastAsia" w:ascii="宋体" w:hAnsi="宋体" w:eastAsia="宋体" w:cs="宋体"/>
                <w:b/>
                <w:bCs/>
                <w:i w:val="0"/>
                <w:iCs w:val="0"/>
                <w:color w:val="000000"/>
                <w:sz w:val="24"/>
                <w:szCs w:val="24"/>
                <w:u w:val="none"/>
              </w:rPr>
            </w:pPr>
          </w:p>
        </w:tc>
        <w:tc>
          <w:tcPr>
            <w:tcW w:w="8413" w:type="dxa"/>
            <w:gridSpan w:val="4"/>
            <w:vMerge w:val="continue"/>
            <w:tcBorders>
              <w:top w:val="nil"/>
              <w:left w:val="nil"/>
              <w:bottom w:val="single" w:color="000000" w:sz="4" w:space="0"/>
              <w:right w:val="nil"/>
            </w:tcBorders>
            <w:vAlign w:val="bottom"/>
          </w:tcPr>
          <w:p>
            <w:pPr>
              <w:jc w:val="center"/>
              <w:rPr>
                <w:rFonts w:hint="eastAsia" w:ascii="宋体" w:hAnsi="宋体" w:eastAsia="宋体" w:cs="宋体"/>
                <w:i w:val="0"/>
                <w:iCs w:val="0"/>
                <w:color w:val="000000"/>
                <w:sz w:val="24"/>
                <w:szCs w:val="24"/>
                <w:u w:val="none"/>
              </w:rPr>
            </w:pPr>
          </w:p>
        </w:tc>
        <w:tc>
          <w:tcPr>
            <w:tcW w:w="1874" w:type="dxa"/>
            <w:vMerge w:val="continue"/>
            <w:tcBorders>
              <w:top w:val="nil"/>
              <w:left w:val="nil"/>
              <w:bottom w:val="nil"/>
              <w:right w:val="nil"/>
            </w:tcBorders>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5173"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比选申请人：</w:t>
            </w:r>
          </w:p>
        </w:tc>
        <w:tc>
          <w:tcPr>
            <w:tcW w:w="5773" w:type="dxa"/>
            <w:tcBorders>
              <w:top w:val="nil"/>
              <w:left w:val="nil"/>
              <w:bottom w:val="single" w:color="000000" w:sz="4" w:space="0"/>
              <w:right w:val="nil"/>
            </w:tcBorders>
            <w:vAlign w:val="bottom"/>
          </w:tcPr>
          <w:p>
            <w:pPr>
              <w:jc w:val="center"/>
              <w:rPr>
                <w:rFonts w:hint="eastAsia" w:ascii="宋体" w:hAnsi="宋体" w:eastAsia="宋体" w:cs="宋体"/>
                <w:i w:val="0"/>
                <w:iCs w:val="0"/>
                <w:color w:val="000000"/>
                <w:sz w:val="24"/>
                <w:szCs w:val="24"/>
                <w:u w:val="none"/>
              </w:rPr>
            </w:pPr>
          </w:p>
        </w:tc>
        <w:tc>
          <w:tcPr>
            <w:tcW w:w="3314" w:type="dxa"/>
            <w:gridSpan w:val="3"/>
            <w:tcBorders>
              <w:top w:val="nil"/>
              <w:left w:val="nil"/>
              <w:bottom w:val="nil"/>
              <w:right w:val="nil"/>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5173" w:type="dxa"/>
            <w:gridSpan w:val="3"/>
            <w:tcBorders>
              <w:top w:val="nil"/>
              <w:left w:val="nil"/>
              <w:bottom w:val="nil"/>
              <w:right w:val="nil"/>
            </w:tcBorders>
            <w:vAlign w:val="bottom"/>
          </w:tcPr>
          <w:p>
            <w:pPr>
              <w:jc w:val="right"/>
              <w:rPr>
                <w:rFonts w:hint="eastAsia" w:ascii="宋体" w:hAnsi="宋体" w:eastAsia="宋体" w:cs="宋体"/>
                <w:b/>
                <w:bCs/>
                <w:i w:val="0"/>
                <w:iCs w:val="0"/>
                <w:color w:val="000000"/>
                <w:sz w:val="24"/>
                <w:szCs w:val="24"/>
                <w:u w:val="none"/>
              </w:rPr>
            </w:pPr>
          </w:p>
        </w:tc>
        <w:tc>
          <w:tcPr>
            <w:tcW w:w="5773" w:type="dxa"/>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(单位盖章)</w:t>
            </w:r>
          </w:p>
        </w:tc>
        <w:tc>
          <w:tcPr>
            <w:tcW w:w="3314" w:type="dxa"/>
            <w:gridSpan w:val="3"/>
            <w:tcBorders>
              <w:top w:val="nil"/>
              <w:left w:val="nil"/>
              <w:bottom w:val="nil"/>
              <w:right w:val="nil"/>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5173"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或其授权人:</w:t>
            </w:r>
          </w:p>
        </w:tc>
        <w:tc>
          <w:tcPr>
            <w:tcW w:w="5773" w:type="dxa"/>
            <w:tcBorders>
              <w:top w:val="nil"/>
              <w:left w:val="nil"/>
              <w:bottom w:val="single" w:color="000000" w:sz="4" w:space="0"/>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3314" w:type="dxa"/>
            <w:gridSpan w:val="3"/>
            <w:tcBorders>
              <w:top w:val="nil"/>
              <w:left w:val="nil"/>
              <w:bottom w:val="nil"/>
              <w:right w:val="nil"/>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5173"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5773" w:type="dxa"/>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(签字或盖章)</w:t>
            </w:r>
          </w:p>
        </w:tc>
        <w:tc>
          <w:tcPr>
            <w:tcW w:w="3314" w:type="dxa"/>
            <w:gridSpan w:val="3"/>
            <w:tcBorders>
              <w:top w:val="nil"/>
              <w:left w:val="nil"/>
              <w:bottom w:val="nil"/>
              <w:right w:val="nil"/>
            </w:tcBorders>
            <w:vAlign w:val="bottom"/>
          </w:tcPr>
          <w:p>
            <w:pPr>
              <w:jc w:val="right"/>
              <w:rPr>
                <w:rFonts w:hint="eastAsia" w:ascii="宋体" w:hAnsi="宋体" w:eastAsia="宋体" w:cs="宋体"/>
                <w:i w:val="0"/>
                <w:iCs w:val="0"/>
                <w:color w:val="000000"/>
                <w:sz w:val="20"/>
                <w:szCs w:val="20"/>
                <w:u w:val="none"/>
              </w:rPr>
            </w:pPr>
          </w:p>
        </w:tc>
      </w:tr>
    </w:tbl>
    <w:p>
      <w:r>
        <w:rPr>
          <w:rFonts w:hint="eastAsia" w:ascii="宋体" w:hAnsi="宋体" w:eastAsia="宋体" w:cs="宋体"/>
          <w:b/>
          <w:bCs/>
          <w:i w:val="0"/>
          <w:iCs w:val="0"/>
          <w:color w:val="000000"/>
          <w:kern w:val="0"/>
          <w:sz w:val="32"/>
          <w:szCs w:val="32"/>
          <w:u w:val="none"/>
          <w:lang w:val="en-US" w:eastAsia="zh-CN" w:bidi="ar"/>
        </w:rPr>
        <w:br w:type="page"/>
      </w:r>
    </w:p>
    <w:tbl>
      <w:tblPr>
        <w:tblStyle w:val="6"/>
        <w:tblW w:w="145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8382"/>
        <w:gridCol w:w="4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4530" w:type="dxa"/>
            <w:gridSpan w:val="3"/>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 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305" w:type="dxa"/>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w:t>
            </w:r>
          </w:p>
        </w:tc>
        <w:tc>
          <w:tcPr>
            <w:tcW w:w="8382" w:type="dxa"/>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攀盐高速驻地办公区装饰装修工程劳务协作单位</w:t>
            </w:r>
          </w:p>
        </w:tc>
        <w:tc>
          <w:tcPr>
            <w:tcW w:w="4843" w:type="dxa"/>
            <w:tcBorders>
              <w:top w:val="nil"/>
              <w:left w:val="nil"/>
              <w:bottom w:val="nil"/>
              <w:right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第1页 共1页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0" w:hRule="atLeast"/>
        </w:trPr>
        <w:tc>
          <w:tcPr>
            <w:tcW w:w="14530"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1.工程概况：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项目名称：攀盐高速驻地办公区装饰装修工程劳务协作单位。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项目业主：四川攀盐高速公路建设开发有限公司。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项目地点：四川省攀枝花。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内容及规模：本项目办公区为攀枝花西区大水井安置房裙楼，共三层，一层与三层为原山东路桥办公区域，二层为大水井街道图书馆，总建筑面积为 3615.48 ㎡，其中第一层 1205.16 ㎡，第二层 1205.16 ㎡，第三层 1205.16 ㎡，预计开展拆除工作约 3000 ㎡。本项目将开展 31 间办公室、3 间会议室、1 间五方监控室、10 间卫生间及食堂等其它相关空间的装饰装修工作。根据攀盐公司办公需求，本项目现状不满足直接入驻（由于部分房屋面积超标，且中间大量空间不通风和不采光，且未做装饰装修），须对项目原室内装饰进行拆除重新装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2.工程招标和专业工程发包范围：工程图纸范围内的全部装饰装修工程、安装工程，不含主材。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3.工程量清单编制依据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4.工程质量、材料、施工等的特殊要求：满足合同中有关工程质量的约定，以及国家现行《建筑装饰装修工程质量验收规范》、《建筑工程施工及验收规范》的规定。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5.其他需要说明的问题：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不含税综合单价包含为完成合同约定范围全部工作内容的所需的人工费、机械费、辅材费、措施费、管理费、材料二次或多次搬运费、安全文明施工费、规费、利润等全部费用，任何情况下均不作调整。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投标人比选申请报价不得超过招标控制价，且每单项工程量清单不含税综合单价不得超过招标控制价中的对应单价，否则做废标处理。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453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453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453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453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bl>
    <w:p>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br w:type="page"/>
      </w:r>
    </w:p>
    <w:tbl>
      <w:tblPr>
        <w:tblStyle w:val="6"/>
        <w:tblW w:w="140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4"/>
        <w:gridCol w:w="196"/>
        <w:gridCol w:w="7730"/>
        <w:gridCol w:w="3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14040" w:type="dxa"/>
            <w:gridSpan w:val="4"/>
            <w:tcBorders>
              <w:top w:val="nil"/>
              <w:left w:val="nil"/>
              <w:bottom w:val="nil"/>
              <w:right w:val="nil"/>
            </w:tcBorders>
            <w:vAlign w:val="top"/>
          </w:tcPr>
          <w:p>
            <w:pPr>
              <w:keepNext w:val="0"/>
              <w:keepLines w:val="0"/>
              <w:widowControl/>
              <w:suppressLineNumbers w:val="0"/>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比选申请报价汇总表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2370" w:type="dxa"/>
            <w:gridSpan w:val="2"/>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11670" w:type="dxa"/>
            <w:gridSpan w:val="2"/>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攀盐高速驻地办公区装饰装修工程劳务协作单位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1"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单位工程名称 </w:t>
            </w:r>
          </w:p>
        </w:tc>
        <w:tc>
          <w:tcPr>
            <w:tcW w:w="3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比选申请报价金额（元）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拆除工程小计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砌筑工程小计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门窗工程小计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楼地面装饰工程小计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墙、柱面装饰与隔断小计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天棚工程小计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其他装饰工程小计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1"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电气设备安装工程-强电 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1"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给排水工程小计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脚手架工程小计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01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不含税合计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01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增值税（3%）</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1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含税合计</w:t>
            </w:r>
          </w:p>
        </w:tc>
        <w:tc>
          <w:tcPr>
            <w:tcW w:w="3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r>
    </w:tbl>
    <w:p>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br w:type="page"/>
      </w:r>
    </w:p>
    <w:tbl>
      <w:tblPr>
        <w:tblStyle w:val="6"/>
        <w:tblW w:w="143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3338"/>
        <w:gridCol w:w="696"/>
        <w:gridCol w:w="991"/>
        <w:gridCol w:w="1326"/>
        <w:gridCol w:w="1472"/>
        <w:gridCol w:w="4498"/>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4360" w:type="dxa"/>
            <w:gridSpan w:val="8"/>
            <w:tcBorders>
              <w:top w:val="nil"/>
              <w:left w:val="nil"/>
              <w:bottom w:val="nil"/>
              <w:right w:val="nil"/>
            </w:tcBorders>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3356" w:type="dxa"/>
            <w:gridSpan w:val="7"/>
            <w:tcBorders>
              <w:top w:val="nil"/>
              <w:left w:val="nil"/>
              <w:bottom w:val="nil"/>
              <w:right w:val="nil"/>
            </w:tcBorders>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项目名称：攀盐高速驻地办公区装饰装修工程劳务协作单位</w:t>
            </w:r>
          </w:p>
        </w:tc>
        <w:tc>
          <w:tcPr>
            <w:tcW w:w="1004" w:type="dxa"/>
            <w:tcBorders>
              <w:top w:val="nil"/>
              <w:left w:val="nil"/>
              <w:bottom w:val="nil"/>
              <w:right w:val="nil"/>
            </w:tcBorders>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3356" w:type="dxa"/>
            <w:gridSpan w:val="7"/>
            <w:tcBorders>
              <w:top w:val="nil"/>
              <w:left w:val="nil"/>
              <w:bottom w:val="nil"/>
              <w:right w:val="nil"/>
            </w:tcBorders>
            <w:vAlign w:val="center"/>
          </w:tcPr>
          <w:p>
            <w:pPr>
              <w:jc w:val="center"/>
              <w:rPr>
                <w:rFonts w:hint="default" w:ascii="仿宋_GB2312" w:hAnsi="宋体" w:eastAsia="仿宋_GB2312" w:cs="仿宋_GB2312"/>
                <w:i w:val="0"/>
                <w:iCs w:val="0"/>
                <w:color w:val="000000"/>
                <w:sz w:val="18"/>
                <w:szCs w:val="18"/>
                <w:u w:val="none"/>
              </w:rPr>
            </w:pPr>
          </w:p>
        </w:tc>
        <w:tc>
          <w:tcPr>
            <w:tcW w:w="1004" w:type="dxa"/>
            <w:tcBorders>
              <w:top w:val="nil"/>
              <w:left w:val="nil"/>
              <w:bottom w:val="nil"/>
              <w:right w:val="nil"/>
            </w:tcBorders>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子目号</w:t>
            </w:r>
          </w:p>
        </w:tc>
        <w:tc>
          <w:tcPr>
            <w:tcW w:w="33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子目名称</w:t>
            </w: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单位</w:t>
            </w:r>
          </w:p>
        </w:tc>
        <w:tc>
          <w:tcPr>
            <w:tcW w:w="378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比选申请报价</w:t>
            </w:r>
            <w:r>
              <w:rPr>
                <w:rFonts w:hint="default" w:ascii="仿宋_GB2312" w:hAnsi="宋体" w:eastAsia="仿宋_GB2312" w:cs="仿宋_GB2312"/>
                <w:b/>
                <w:bCs/>
                <w:i w:val="0"/>
                <w:iCs w:val="0"/>
                <w:color w:val="000000"/>
                <w:kern w:val="0"/>
                <w:sz w:val="18"/>
                <w:szCs w:val="18"/>
                <w:u w:val="none"/>
                <w:lang w:val="en-US" w:eastAsia="zh-CN" w:bidi="ar"/>
              </w:rPr>
              <w:t>(不含税)</w:t>
            </w:r>
          </w:p>
        </w:tc>
        <w:tc>
          <w:tcPr>
            <w:tcW w:w="44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协作内容及费用构成</w:t>
            </w:r>
          </w:p>
        </w:tc>
        <w:tc>
          <w:tcPr>
            <w:tcW w:w="10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b/>
                <w:bCs/>
                <w:i w:val="0"/>
                <w:iCs w:val="0"/>
                <w:color w:val="000000"/>
                <w:sz w:val="18"/>
                <w:szCs w:val="18"/>
                <w:u w:val="none"/>
              </w:rPr>
            </w:pPr>
          </w:p>
        </w:tc>
        <w:tc>
          <w:tcPr>
            <w:tcW w:w="33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b/>
                <w:bCs/>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b/>
                <w:bCs/>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工程数量</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单价</w:t>
            </w: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合价</w:t>
            </w:r>
          </w:p>
        </w:tc>
        <w:tc>
          <w:tcPr>
            <w:tcW w:w="44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b/>
                <w:bCs/>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拆除工程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拆除墙面乳胶漆</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1822.31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拆除墙面乳胶漆</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拆除地面地砖</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1811.8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拆除地面地砖</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拆除墙面装饰板</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1.构件名称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2.拆除构件的厚度或规格尺寸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3.构件表面的附着物种类</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地胶拆除</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1009.5</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木地板拆除</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轻钢龙骨石膏板隔墙拆除</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1156.02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木地板拆除</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拆除天花轻钢龙骨石膏板</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902.67</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木地板拆除</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立面墙砖拆除</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300.24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木地板拆除</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拆除卫生间隔断</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木地板拆除</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卫生洁具种类：蹲便器拆除；洗手盆拆除；洗手盆拆除；小便斗拆除等</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楼板拆除</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楼板拆除</w:t>
            </w:r>
          </w:p>
        </w:tc>
        <w:tc>
          <w:tcPr>
            <w:tcW w:w="1004"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灯架拆除</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建渣外运</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拆除工程小计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砌筑工程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实心砖墙</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1.砖品种、规格、强度等级 ：实心砖；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3.砂浆强度等级、配合比：湿拌砌筑砂浆；</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砌砖地台</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1.零星砌砖名称、部位 ：地台；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2.砖品种、规格、强度等级：实心砖；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3.砂浆强度等级、配合比：湿拌砌筑砂浆；</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砌筑工程小计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门窗工程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防火玻璃门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1.成品防火玻璃门；</w:t>
            </w:r>
          </w:p>
        </w:tc>
        <w:tc>
          <w:tcPr>
            <w:tcW w:w="1004"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成品定制木门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133.92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 ：综合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2.成品定制木门；</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门窗工程小计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楼地面装饰工程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仿石材地砖地面</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2401.63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1.找平层厚度、砂浆配合比 ：素水泥浆一道(内参建筑胶）；20厚WSM15水泥砂浆找平层；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 ：仿石材地砖800*800*10mm；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4.嵌缝材料种类 ：DTG砂浆擦缝或勾缝剂勾缝(具体详选样)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5.防护层材料种类：详图纸； </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成品铝合金踢脚线</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1545.77</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1.踢脚线高度 :80mm;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2.粘贴层厚度、材料种类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 ：成品铝合金踢脚线；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4.防护材料种类：详图纸；</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窗台石</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1.工程部位 ：窗台石；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 ：花岗石窗台石 厚20mm；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3.勾缝材料种类 ：报价综合考虑，满足设计规范要求；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4.防护材料种类 ：报价综合考虑，满足设计规范要求；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5.酸洗、打蜡要求：报价综合考虑，满足设计规范要求；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6.养护：报价综合考虑，满足设计规范要求；</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卫生间门槛石</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1.工程部位 ：卫生间门槛石；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2.硬底薄铺法:1:25水泥砂浆找平层(含地面找坡&gt;1%；II型聚合物水泥防水涂料(含附加层)+闭水实验&gt;24小时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 ：花岗石门槛石 厚20mm；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3.勾缝材料种类 ：报价综合考虑，满足设计规范要求；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4.防护材料种类 ：报价综合考虑，满足设计规范要求；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5.酸洗、打蜡要求：报价综合考虑，满足设计规范要求；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6.养护：报价综合考虑，满足设计规范要求；</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门槛石</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1.工程部位 ：门槛石；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 ：花岗石门槛石 厚20mm；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3.勾缝材料种类 ：报价综合考虑，满足设计规范要求；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4.防护材料种类 ：报价综合考虑，满足设计规范要求；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5.酸洗、打蜡要求：报价综合考虑，满足设计规范要求；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6.养护：报价综合考虑，满足设计规范要求；</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楼地面装饰工程小计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墙、柱面装饰与隔断</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4672.9</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2.喷刷涂料部位：内墙面；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3.做法：基层墙体清理；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4.腻子种类 ：N型耐水腻子三遍；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5.油漆涂料：弹性封闭底漆一道；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6.涂料品种、喷刷遍数：涂料二道；</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仿石材墙砖 CT-05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353.08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1.墙体类型：砖墙体；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 ：湿拌砂浆粘贴；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 ：仿石材墙砖 CT-05；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4.缝宽、嵌缝材料种类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5.位置：卫生间、备餐台；</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18mm厚倍特板隔断</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1.骨架、边框材料种类、规格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2.隔板材料品种、规格、颜色 ：18mm厚倍特板；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3.嵌缝、塞口材料品种：详图纸；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4.位置：卫生间；</w:t>
            </w:r>
          </w:p>
        </w:tc>
        <w:tc>
          <w:tcPr>
            <w:tcW w:w="1004"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6mmn厚灰色钢化玻璃膈断</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1.玻璃品种、规格、颜色 6mmn厚灰色钢化玻璃膈断</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10mm厚磨砂玻璃电动门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1.骨架材料种类、规格、中距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 ：10mm厚磨砂玻璃隔墙；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3.面层固定方式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4.单价包含电动装置；</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10mm厚磨砂玻璃隔墙</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95.66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1.骨架材料种类、规格、中距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 ：10mm厚磨砂玻璃隔墙；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3.面层固定方式 ：详图纸；</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轻钢龙骨双层石膏板隔墙</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1369.44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1.龙骨材料种类、规格、中距 ：100型轻钢龙骨隔墙；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2.隔离层材料种类、规格 ：隔音棉；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 ：双层12mn石膏板；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4.其他详图纸；</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窗帘盒</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177.11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1.基层：12mm高强石膏阻燃板；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2.面层：单层9.5mm石膏板；面饰无极涂料；</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石膏板包柱</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1.龙骨材料种类、规格、中距 ：75型轻钢龙骨隔墙；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 ：双层12mn石膏板；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3.其他详图纸；</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墙、柱面装饰与隔断小计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天棚工程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吊顶天棚矿棉板</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2281.67</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1.吊顶形式、吊杆规格、高度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2.龙骨材料种类、规格、中距 ：U型轻钢承载龙骨；铝合金T型配套龙骨；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3.面层材料品种、规格：15mm矿棉板；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4.其他详设计；</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吊顶天棚纸面石膏板</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416.09</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1.吊顶形式、吊杆规格、高度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2.龙骨材料种类、规格、中距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3.基层材料种类、规格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4.面层材料品种、规格：双层纸面石膏板 9.5mm厚；面饰涂料；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5.窗帘盒及反光槽位置按展开面积计算；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 MT-01铝扣板</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174.02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1.吊顶形式、吊杆规格、高度 ：φ6镀锌低碳钢丝吊杆，双向中距≤1200；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2.龙骨材料种类、规格、中距 ：U型轻钢主龙骨（CB38*12）≤1200；T型轻钢次龙骨（KB33*30），中距600；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3.面层材料品种、规格：600*600*1厚铝合金扣板；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4.主要施工部位：卫生间；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5.其他详设计图纸；</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天棚工程小计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其他装饰工程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6mm厚银镜 不锈钢边框 </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1.镜面玻璃品种、规格 ：6mm厚银镜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2.框材质、断面尺寸 ：不锈钢边框 </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卫生纸盒</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1.材料品种、规格、品牌、颜色 ：不锈钢卫生盒</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烘手器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1.材料品种、规格、品牌、颜色 ：烘手器</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台盆内置垃圾桶</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1.材料品种、规格、品牌、颜色： 台盆内置垃圾桶</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卫生间柜体</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1.台柜规格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2.材料种类、规格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3.五金种类、规格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4.防护材料种类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5.油漆品种、刷漆遍数详图纸；</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洗漱台</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1.材料品种、规格、品牌、颜色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2.支架、配件品种、规格、品牌：详图纸；</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外墙广告布</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1.箱体规格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2.基层材料种类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3.面层材料种类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4.防护材料种类</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金属字</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2.镌字材料品种、颜色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3.字体规格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4.固定方式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5.油漆品种、刷漆遍数</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企业LOGO</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2.镌字材料品种、颜色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3.字体规格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4.固定方式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5.油漆品种、刷漆遍数</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其他装饰工程小计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电气设备安装工程-强电 </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商业照明配电箱 1AL1/syzm </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1.名称：1AL1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2.型号：非标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3.安装方式：电井内挂墙明装 H=1米</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商业照明配电箱 2AL1/syzm  </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1.名称：2AL1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2.型号：非标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3.安装方式：电井内挂墙明装 H=1米</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商业照明配电箱 3AL1/syzm  </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1.名称：3AL1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2.型号：非标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3.安装方式：电井内挂墙明装 H=1米</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监控照明配电箱 2ALjk</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1.名称：2ALjk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2.型号：非标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3.安装方式：电井内挂墙明装 H=1米</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双电源切换箱 3ATpy</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1.名称：3ATpy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2.型号：非标 </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应急照明配电箱 2ALEsy（利旧）</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1.名称：2ALEsy（利旧）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2.型号：非标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3.安装方式：落地安装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应急集中电源（利旧）</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1.名称：应急集中电源（利旧）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2.安装方式：落地安装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商业空调配电箱 1AL1/sykt</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1.名称：1AL1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2.型号：非标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3.安装方式：电井内挂墙明装 H=1米</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商业空调配电箱 2AL1/sykt</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1.名称：2AL1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2.型号：非标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3.安装方式：电井内挂墙明装 H=1米</w:t>
            </w:r>
          </w:p>
        </w:tc>
        <w:tc>
          <w:tcPr>
            <w:tcW w:w="1004"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商业空调配电箱 3AL1/sykt </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1.名称：3AL1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2.型号：非标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3.安装方式：电井内挂墙明装 H=1米</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单联单控开关</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1.名称：单联单控开关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2.规格：250V 10A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4.安装方式：嵌墙安装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双联单控开关</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1.名称：双联单控开关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2.规格：250V 10A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4.安装方式：嵌墙安装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三联单空开关</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1.名称：三联单空开关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2.规格：250V 10A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4.安装方式：嵌墙安装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双控单极开关</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1.名称：双控单极开关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2.规格：250V 10A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4.安装方式：嵌墙安装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LED平板灯 600*600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1.名称：LED平板灯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2.规格：600*600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3.类型：详设计</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LED平板灯 300*1200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1.名称：LED平板灯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3.类型：详设计</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应急吸顶灯 1</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1.名称：应急吸顶灯 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2.型号：A型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3.规格：3W 36V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4.安装形式：吸顶</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应急吸顶灯 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1.名称：应急吸顶灯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2.型号：A型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3.规格：5W 36V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4.安装形式：吸顶</w:t>
            </w:r>
          </w:p>
        </w:tc>
        <w:tc>
          <w:tcPr>
            <w:tcW w:w="1004"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应急吸顶灯 3</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1.名称：应急吸顶灯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2.型号：A型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3.规格：5W 36V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疏散通道指示灯</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1.名称：疏散通道指示灯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2.规格：1W 36V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3.安装形式：门上口0.2米</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疏散出口指示灯</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1.名称：疏散出口指示灯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2.规格：1W 36V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3.安装形式：门上口0.2米</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疏散方向指示灯</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1.名称：疏散方向指示灯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2.规格：1W 36V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3.安装形式：吊装\吸顶</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复合型双面指示灯</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1.名称：复合型双面指示灯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2.规格：1W 36V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3.安装形式：吊装\吸顶</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楼层指示灯</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1.名称：楼层指示灯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2.规格：1W 36V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3.安装形式：距地2.2米</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筒灯A</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1.名称：筒灯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3.安装形式：暗装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筒灯B</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1.名称：筒灯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2.型号：B防水防雾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3.安装形式：暗装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筒灯C</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1.名称：筒灯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3.安装形式：暗装 公区</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射灯</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1.名称：射灯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成品铝合金线型LED灯带</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328.5</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1.名称：成品铝合金线型LED灯带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2.安装形式：详设计</w:t>
            </w:r>
          </w:p>
        </w:tc>
        <w:tc>
          <w:tcPr>
            <w:tcW w:w="1004"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普通五孔插座</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1.名称：普通五孔插座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2.规格：250V 10A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3.安装方式：嵌装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地面专用插座</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1.名称：地面专用插座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2.规格：250V 10A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3.安装方式：嵌装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空调插座</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1.名称：空调插座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2.规格：250V 10A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3.安装方式：嵌装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防水插座</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2.规格：250V 10A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3.安装方式：嵌装</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 JDG16</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645.5</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1.名称：JDG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4.配置形式及部位：结构暗配</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 JDG20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1978.76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1.名称：JDG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4.配置形式及部位：结构暗配</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 JDG25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2431.28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1.名称：JDG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4.配置形式及部位：结构暗配</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 JDG32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934.41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1.名称：JDG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4.配置形式及部位：结构暗配</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 JDG40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370.34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1.名称：JDG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4.配置形式及部位：结构暗配</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 PC20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4.配置形式及部位：结构暗配</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 PC25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535.38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4.配置形式及部位：结构暗配</w:t>
            </w:r>
          </w:p>
        </w:tc>
        <w:tc>
          <w:tcPr>
            <w:tcW w:w="1004"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WDZ-BYJ-2.5mm2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5274.6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2.导线型号、材质、规格：WDZ-BYJ3*2.5mm2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3.敷设部位或线制：照明线路</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WDZN-BYJ-2.5mm2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2.导线型号、材质、规格：WDZN-BYJ3*2.5mm2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3.敷设部位或线制：照明线路</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WDZ-BYJ-4mm2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4522.25</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2.导线型号、材质、规格：WDZ-BYJ3*4mm2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3.敷设部位或线制：照明线路</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WDZN-RVS-2*1.5mm2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1238.14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2.导线型号、材质、规格：WDZN-RVS-2*1.5mm2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3.敷设部位或线制：信号线</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WDZN-KYJY-3*10mm2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1.型号：铜芯电缆 KYJY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2.规格：WDZN-KYJY-3*10mm2</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WDZN-KYJY-4*1.5mm2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1.型号：铜芯电缆 KYJY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2.规格：WDZN-KYJY-4*1.5mm2</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 WDZ-YJY-5*6mm2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359.55</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1.型号：铜芯电缆 YJY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2.规格：WDZ-YJV5*6mm2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3.敷设方式：电缆敷设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4.电缆头：户内热缩式电缆头 五芯 1KV以下终端头</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 WDZ-YJY-5*16mm2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396.68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1.型号：铜芯电缆 YJY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2.规格：WDZ-YJV5*16mm2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3.敷设方式：电缆敷设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4.电缆头：户内热缩式电缆头 五芯 1KV以下终端头</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 5*6mm2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1.户内热缩式电缆头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2.五芯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3.1KV以后终端头</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 5*16mm2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1.户内热缩式电缆头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2.五芯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3.1KV以后终端头</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强电桥架</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156.42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1.型号、规格：150*75mm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2.材质：钢制</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防火封堵</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1.名称：防火封堵 </w:t>
            </w:r>
          </w:p>
        </w:tc>
        <w:tc>
          <w:tcPr>
            <w:tcW w:w="1004"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1.名称：人工开孔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2.规格、型号：综合考虑</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1.5P一级变频挂机</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2P一级变频挂机</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3P一级变频挂机</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3P一级变频柜机</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5P一级变频柜机</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外机支架</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镀锌角钢现场加工制作</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空调漏保</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3匹和5匹</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空调加铜管</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1.5匹和2匹</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空调加铜管</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空调加铜管</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电气设备安装工程-强电 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给排水工程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1.名称：水龙头</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坐式大便器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1.材质:陶瓷 .规格、类型:坐式大便器</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蹲式大便器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1.材质:陶瓷 .规格、类型:蹲式大便器</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感应式冲洗阀小便器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1.材质:陶瓷 .规格、类型:感应式冲洗阀小便器</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感应式冲洗阀洗脸盆</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1.材质:陶瓷 .规格、类型:感应式冲洗阀洗脸盆</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浴霸</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1.材质：浴霸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淋浴器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1.材质、规格：淋浴器</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洗涤盆</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1.名称：洗涤盆</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污洗池</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1.名称：污洗池</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1.名称：电热水器 3.0KW</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小厨宝</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1.名称：小厨宝</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排气扇</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1.名称：排气扇 </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 DN50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1.材质:地漏 .型号、规格:DN50</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DN50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类型: 闸阀 . 材质: 全铜 . 规格、压力等级: DN50</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 DN25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类型: 止回阀 . 材质: 全铜 . 规格、压力等级: DN25</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自动排气阀 DN25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类型: 自动排气阀 . 材质: 全铜 . 规格、压力等级: DN25</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DN25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1.类型:截止阀 .材质:全铜 .规格、压力等级:DN25 .连接形式:螺纹连接</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延时自闭冲洗阀 DN25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1.类型:延时自闭冲洗阀  .材质:全铜 .规格、压力等级:DN25 .连接形式:螺纹连接</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感应冲洗阀 DN20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1.类型:延时自闭冲洗阀  .材质:全铜 .规格、压力等级:DN25 .连接形式:螺纹连接</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角阀 DN50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1.类型:角阀 .材质:全铜 .规格、压力等级:DN50 .连接形式:螺纹连接</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角阀 DN25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1.类型:角阀 .材质:全铜 .规格、压力等级:DN25 .连接形式:螺纹连接</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角阀 DN15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1.类型:角阀 .材质:全铜 .规格、压力等级:DN15 .连接形式:螺纹连接</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排水管PVC-U管 DN100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107.55</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1.介质:污废水 .材质、规格:PVC-U管 DN100 .连接形式:热熔</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排水管PVC-U管 DN75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1.介质:污废水 .材质、规格:PVC-U管 DN75 .连接形式:热熔</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排水管PVC-U管 DN50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1.介质:污废水 .材质、规格:PVC-U管 DN50 .连接形式:热熔</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给水管PSP-DN32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.材质、规格:衬塑钢管 DN32 .连接形式:丝接 .压力试验及吹、洗设计要求:水压试验、水冲洗、消毒冲洗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给水管PSP-DN40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.材质、规格:衬塑钢管 DN40 .连接形式:丝接 .压力试验及吹、洗设计要求:水压试验、水冲洗、消毒冲洗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给水管PSP-DN50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.材质、规格:衬塑钢管 DN50 .连接形式:丝接 .压力试验及吹、洗设计要求:水压试验、水冲洗、消毒冲洗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给水管PSP-DN65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39.12</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.材质、规格:衬塑钢管 DN65 .连接形式:丝接 .压力试验及吹、洗设计要求:水压试验、水冲洗、消毒冲洗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给水管PPR-De15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28.67</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.材质、规格:PP-R De15 .连接形式:热熔连接 .压力试验及吹、洗设计要求:水压试验、水冲洗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给水管PPR-De20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.材质、规格:PP-R De20 .连接形式:热熔连接 .压力试验及吹、洗设计要求:水压试验、水冲洗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给水管PPR-De25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155.28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.材质、规格:PP-R De25 .连接形式:热熔连接 .压力试验及吹、洗设计要求:水压试验、水冲洗、消毒冲洗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给水管PPR-De32</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.材质、规格:PP-R De32 .连接形式:热熔连接 .压力试验及吹、洗设计要求:水压试验、水冲洗、消毒冲洗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给水管PPR-De40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.材质、规格:PP-R De40 .连接形式:热熔连接 .压力试验及吹、洗设计要求:水压试验、水冲洗、消毒冲洗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给水管PPR-De50</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1.介质:给水 .材质、规格:PP-R De50 .连接形式:热熔连接 .压力试验及吹、洗设计要求:水压试验、水冲洗、消毒冲洗</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69.57</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1.材质:管道支架 .管架形式:除锈后刷二遍防锈漆，二遍调和漆</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管道刷油</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55.09</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1.油漆品种:樟丹、灰色调合漆 .涂刷遍数、漆膜厚度:樟丹两道,灰色调合漆两道</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管道绝热</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1.名称：管道绝热</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管道压力试验</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401.05</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单阀单栓组合式消火栓柜移位</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1.安装方式：明装（移位）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2.型号、规格：单阀单栓组合式消火栓柜 SG24D50(65)-P</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手提式磷酸铵盐干粉灭火器</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1.形式:手提式磷酸铵盐干粉灭火器 .规格、型号:MF/ABC4</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消火栓钢管  DN25</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材质、规格: 内外热浸镀锌钢管 DN25 . 连接形式: 螺纹连接</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给排水工程小计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脚手架工程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里脚手架</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3615.48</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1．搭设方式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2．搭设高度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3．脚手架材质</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外装饰吊篮</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1．升降方式及启动装置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搭设高度及吊篮型号</w:t>
            </w:r>
          </w:p>
        </w:tc>
        <w:tc>
          <w:tcPr>
            <w:tcW w:w="1004"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脚手架工程小计</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333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49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i w:val="0"/>
                <w:iCs w:val="0"/>
                <w:color w:val="000000"/>
                <w:sz w:val="18"/>
                <w:szCs w:val="18"/>
                <w:u w:val="none"/>
              </w:rPr>
            </w:pPr>
          </w:p>
        </w:tc>
      </w:tr>
    </w:tbl>
    <w:p>
      <w:pPr>
        <w:keepNext w:val="0"/>
        <w:keepLines w:val="0"/>
        <w:widowControl/>
        <w:suppressLineNumbers w:val="0"/>
        <w:jc w:val="both"/>
        <w:textAlignment w:val="center"/>
        <w:rPr>
          <w:rFonts w:hint="default" w:ascii="宋体" w:hAnsi="宋体"/>
          <w:color w:val="auto"/>
          <w:sz w:val="24"/>
          <w:highlight w:val="none"/>
          <w:lang w:val="en-US" w:eastAsia="zh-CN"/>
        </w:rPr>
        <w:sectPr>
          <w:pgSz w:w="16922" w:h="11900" w:orient="landscape"/>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pPr>
        <w:tabs>
          <w:tab w:val="left" w:pos="1500"/>
        </w:tabs>
        <w:spacing w:line="360" w:lineRule="auto"/>
        <w:ind w:left="-376" w:leftChars="-714" w:hanging="1123" w:hangingChars="468"/>
        <w:jc w:val="both"/>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pPr>
        <w:tabs>
          <w:tab w:val="left" w:pos="1500"/>
        </w:tabs>
        <w:spacing w:line="360" w:lineRule="auto"/>
        <w:rPr>
          <w:rFonts w:hint="eastAsia" w:ascii="宋体" w:hAnsi="宋体"/>
          <w:color w:val="auto"/>
          <w:sz w:val="24"/>
          <w:highlight w:val="none"/>
        </w:rPr>
      </w:pPr>
    </w:p>
    <w:p>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pPr>
        <w:tabs>
          <w:tab w:val="left" w:pos="1500"/>
        </w:tabs>
        <w:spacing w:line="360" w:lineRule="auto"/>
        <w:ind w:left="1500"/>
        <w:jc w:val="center"/>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pPr>
        <w:spacing w:line="360" w:lineRule="auto"/>
        <w:rPr>
          <w:rFonts w:hint="eastAsia" w:ascii="宋体" w:hAnsi="宋体"/>
          <w:color w:val="auto"/>
          <w:sz w:val="24"/>
          <w:highlight w:val="none"/>
        </w:rPr>
      </w:pPr>
    </w:p>
    <w:p>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pPr>
        <w:spacing w:line="360" w:lineRule="auto"/>
        <w:jc w:val="center"/>
        <w:rPr>
          <w:rFonts w:hint="eastAsia"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6"/>
        <w:tblW w:w="8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vAlign w:val="center"/>
          </w:tcPr>
          <w:p>
            <w:pPr>
              <w:spacing w:line="360" w:lineRule="auto"/>
              <w:ind w:firstLine="480" w:firstLineChars="20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vAlign w:val="center"/>
          </w:tcPr>
          <w:p>
            <w:pPr>
              <w:spacing w:line="360" w:lineRule="auto"/>
              <w:jc w:val="center"/>
              <w:rPr>
                <w:rFonts w:hint="eastAsia" w:ascii="宋体" w:hAnsi="宋体"/>
                <w:color w:val="auto"/>
                <w:sz w:val="24"/>
                <w:highlight w:val="none"/>
              </w:rPr>
            </w:pPr>
          </w:p>
        </w:tc>
        <w:tc>
          <w:tcPr>
            <w:tcW w:w="1800"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vAlign w:val="center"/>
          </w:tcPr>
          <w:p>
            <w:pPr>
              <w:spacing w:line="360" w:lineRule="auto"/>
              <w:jc w:val="center"/>
              <w:rPr>
                <w:rFonts w:hint="eastAsia" w:ascii="宋体" w:hAnsi="宋体"/>
                <w:color w:val="auto"/>
                <w:sz w:val="24"/>
                <w:highlight w:val="none"/>
              </w:rPr>
            </w:pPr>
          </w:p>
        </w:tc>
      </w:tr>
    </w:tbl>
    <w:p>
      <w:pPr>
        <w:spacing w:line="360" w:lineRule="auto"/>
        <w:ind w:left="479" w:leftChars="114" w:hanging="240" w:hangingChars="100"/>
        <w:rPr>
          <w:rFonts w:hint="eastAsia" w:ascii="宋体" w:hAnsi="宋体"/>
          <w:color w:val="auto"/>
          <w:sz w:val="24"/>
          <w:highlight w:val="none"/>
        </w:rPr>
      </w:pPr>
    </w:p>
    <w:p>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注：后附：律师事务所执业许可证等比选单位认为与本项目有关的证书复印件。</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pPr>
        <w:rPr>
          <w:rFonts w:ascii="宋体" w:hAnsi="宋体"/>
          <w:color w:val="auto"/>
          <w:sz w:val="24"/>
          <w:highlight w:val="none"/>
        </w:rPr>
      </w:pPr>
    </w:p>
    <w:tbl>
      <w:tblPr>
        <w:tblStyle w:val="6"/>
        <w:tblW w:w="8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828"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身份证号</w:t>
            </w:r>
          </w:p>
        </w:tc>
        <w:tc>
          <w:tcPr>
            <w:tcW w:w="363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执业资格或经验</w:t>
            </w:r>
          </w:p>
        </w:tc>
        <w:tc>
          <w:tcPr>
            <w:tcW w:w="1239"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bl>
    <w:p>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注：可根据“量化评分标准、评分依据”配备项目机构组成人员，以上人员应附相应的身份证、执业资格（如有）、社保或劳动合同等相应证书。如不实，属于弄虚作假，取消中选资格。</w:t>
      </w:r>
    </w:p>
    <w:p>
      <w:pPr>
        <w:rPr>
          <w:rFonts w:ascii="宋体" w:hAnsi="宋体"/>
          <w:color w:val="auto"/>
          <w:sz w:val="24"/>
          <w:highlight w:val="none"/>
        </w:rPr>
      </w:pPr>
    </w:p>
    <w:p>
      <w:pPr>
        <w:ind w:left="5920"/>
        <w:rPr>
          <w:rFonts w:hint="eastAsia" w:ascii="宋体" w:hAnsi="宋体"/>
          <w:color w:val="auto"/>
          <w:sz w:val="24"/>
          <w:highlight w:val="none"/>
        </w:rPr>
      </w:pP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pPr>
        <w:rPr>
          <w:rFonts w:ascii="宋体" w:hAnsi="宋体"/>
          <w:color w:val="auto"/>
          <w:sz w:val="24"/>
          <w:highlight w:val="none"/>
        </w:rPr>
        <w:sectPr>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pPr>
        <w:pStyle w:val="2"/>
        <w:numPr>
          <w:ilvl w:val="0"/>
          <w:numId w:val="0"/>
        </w:numPr>
        <w:spacing w:line="270" w:lineRule="auto"/>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rPr>
        <w:t>六、比选申请人承揽业绩情况表</w:t>
      </w:r>
      <w:bookmarkEnd w:id="1"/>
    </w:p>
    <w:p>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p>
    <w:tbl>
      <w:tblPr>
        <w:tblStyle w:val="6"/>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vAlign w:val="center"/>
          </w:tcPr>
          <w:p>
            <w:pPr>
              <w:spacing w:line="360" w:lineRule="auto"/>
              <w:jc w:val="center"/>
              <w:rPr>
                <w:rFonts w:ascii="等线" w:hAnsi="等线"/>
                <w:color w:val="auto"/>
                <w:szCs w:val="21"/>
                <w:highlight w:val="none"/>
              </w:rPr>
            </w:pPr>
          </w:p>
        </w:tc>
      </w:tr>
    </w:tbl>
    <w:p>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pPr>
        <w:tabs>
          <w:tab w:val="left" w:pos="1500"/>
        </w:tabs>
        <w:spacing w:line="360" w:lineRule="auto"/>
        <w:jc w:val="left"/>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rPr>
        <w:t>七、项目实施方案</w:t>
      </w:r>
    </w:p>
    <w:p>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pPr>
        <w:spacing w:line="360" w:lineRule="auto"/>
        <w:jc w:val="left"/>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八、其它</w:t>
      </w:r>
    </w:p>
    <w:p>
      <w:pPr>
        <w:pStyle w:val="8"/>
        <w:rPr>
          <w:color w:val="auto"/>
          <w:highlight w:val="none"/>
        </w:rPr>
      </w:pPr>
      <w:r>
        <w:rPr>
          <w:rFonts w:hint="eastAsia"/>
          <w:color w:val="auto"/>
          <w:highlight w:val="none"/>
        </w:rPr>
        <w:t>1、信誉承诺</w:t>
      </w:r>
    </w:p>
    <w:p>
      <w:pPr>
        <w:pStyle w:val="8"/>
        <w:rPr>
          <w:color w:val="auto"/>
          <w:highlight w:val="none"/>
        </w:rPr>
      </w:pPr>
    </w:p>
    <w:p>
      <w:pPr>
        <w:pStyle w:val="7"/>
        <w:spacing w:line="360" w:lineRule="auto"/>
        <w:ind w:firstLine="480"/>
        <w:jc w:val="center"/>
        <w:rPr>
          <w:color w:val="auto"/>
          <w:sz w:val="24"/>
          <w:szCs w:val="24"/>
          <w:highlight w:val="none"/>
        </w:rPr>
      </w:pPr>
    </w:p>
    <w:p>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pPr>
        <w:pStyle w:val="7"/>
        <w:spacing w:line="360" w:lineRule="auto"/>
        <w:ind w:firstLine="480"/>
        <w:jc w:val="center"/>
        <w:rPr>
          <w:color w:val="auto"/>
          <w:sz w:val="24"/>
          <w:szCs w:val="24"/>
          <w:highlight w:val="none"/>
        </w:rPr>
      </w:pPr>
    </w:p>
    <w:p>
      <w:pPr>
        <w:pStyle w:val="7"/>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（2022年1月1日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pPr>
        <w:pStyle w:val="7"/>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rPr>
        <w:t>2022年1月1日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pPr>
        <w:pStyle w:val="7"/>
        <w:spacing w:line="360" w:lineRule="auto"/>
        <w:ind w:firstLine="630" w:firstLineChars="300"/>
        <w:rPr>
          <w:rFonts w:hint="eastAsia" w:ascii="等线" w:hAnsi="等线" w:eastAsia="等线"/>
          <w:color w:val="auto"/>
          <w:szCs w:val="21"/>
          <w:highlight w:val="none"/>
        </w:rPr>
      </w:pPr>
      <w:r>
        <w:rPr>
          <w:rFonts w:hint="eastAsia" w:ascii="等线" w:hAnsi="等线" w:eastAsia="等线"/>
          <w:color w:val="auto"/>
          <w:szCs w:val="21"/>
          <w:highlight w:val="none"/>
        </w:rPr>
        <w:t>(5)我单位提供的的比选申请文件中的相关材料必须真实、合法、有效，没有弄虚作假。</w:t>
      </w:r>
    </w:p>
    <w:p>
      <w:pPr>
        <w:pStyle w:val="7"/>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rPr>
        <w:t>（6）我单位与比选人（其余比选申请人）不存在利害关系。</w:t>
      </w:r>
    </w:p>
    <w:p>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（7）我单位法定代表人与比选人（其余比选申请人）不为同一人；不存在控股、管理关系。</w:t>
      </w:r>
    </w:p>
    <w:p>
      <w:pPr>
        <w:pStyle w:val="8"/>
        <w:rPr>
          <w:rFonts w:ascii="等线" w:hAnsi="等线"/>
          <w:color w:val="auto"/>
          <w:szCs w:val="21"/>
          <w:highlight w:val="none"/>
        </w:rPr>
      </w:pPr>
    </w:p>
    <w:p>
      <w:pPr>
        <w:pStyle w:val="8"/>
        <w:rPr>
          <w:rFonts w:ascii="等线" w:hAnsi="等线"/>
          <w:color w:val="auto"/>
          <w:szCs w:val="21"/>
          <w:highlight w:val="none"/>
        </w:rPr>
      </w:pPr>
    </w:p>
    <w:p>
      <w:pPr>
        <w:pStyle w:val="8"/>
        <w:rPr>
          <w:rFonts w:ascii="等线" w:hAnsi="等线"/>
          <w:color w:val="auto"/>
          <w:szCs w:val="21"/>
          <w:highlight w:val="none"/>
        </w:rPr>
      </w:pPr>
    </w:p>
    <w:p>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rPr>
          <w:rFonts w:hint="eastAsia" w:ascii="宋体" w:hAnsi="宋体" w:cs="仿宋_GB2312"/>
          <w:color w:val="auto"/>
          <w:sz w:val="24"/>
          <w:highlight w:val="none"/>
        </w:rPr>
      </w:pPr>
    </w:p>
    <w:p>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p>
    <w:p>
      <w:pPr>
        <w:numPr>
          <w:ilvl w:val="0"/>
          <w:numId w:val="3"/>
        </w:numPr>
        <w:tabs>
          <w:tab w:val="left" w:pos="1500"/>
        </w:tabs>
        <w:spacing w:line="360" w:lineRule="auto"/>
        <w:jc w:val="left"/>
        <w:rPr>
          <w:rFonts w:hint="eastAsia" w:ascii="Calibri" w:hAnsi="Calibri"/>
          <w:color w:val="auto"/>
          <w:szCs w:val="22"/>
          <w:highlight w:val="none"/>
        </w:rPr>
      </w:pPr>
      <w:r>
        <w:rPr>
          <w:rFonts w:hint="eastAsia" w:hAnsi="宋体"/>
          <w:color w:val="auto"/>
          <w:szCs w:val="21"/>
          <w:highlight w:val="none"/>
          <w:u w:val="single"/>
        </w:rPr>
        <w:br w:type="page"/>
      </w:r>
      <w:r>
        <w:rPr>
          <w:rFonts w:hint="eastAsia" w:ascii="Calibri" w:hAnsi="Calibri"/>
          <w:color w:val="auto"/>
          <w:szCs w:val="22"/>
          <w:highlight w:val="none"/>
        </w:rPr>
        <w:t>相关信用截图</w:t>
      </w:r>
    </w:p>
    <w:p>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①在国家企业信用信息公示系统（http：//www.gsxt.gov.cn/）中被列入严重违法失信企业名单，不得参加比选申请。（事业单位除外）（提供网站截图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②在“信用中国”网站（http://www.creditchina.gov.cn/）中查询列入失信被执行人名单的比选申请人，不得参加比选申请（提供网站截图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③</w:t>
      </w:r>
      <w:r>
        <w:rPr>
          <w:rFonts w:hint="eastAsia" w:ascii="宋体" w:hAnsi="宋体"/>
          <w:color w:val="auto"/>
          <w:sz w:val="24"/>
          <w:highlight w:val="none"/>
          <w:lang w:val="en-US" w:eastAsia="zh-CN"/>
        </w:rPr>
        <w:t>比选申请单位在</w:t>
      </w:r>
      <w:r>
        <w:rPr>
          <w:rFonts w:hint="eastAsia" w:ascii="宋体" w:hAnsi="宋体" w:eastAsia="宋体" w:cs="Times New Roman"/>
          <w:color w:val="auto"/>
          <w:sz w:val="24"/>
          <w:highlight w:val="none"/>
          <w:lang w:val="en-US" w:eastAsia="zh-CN"/>
        </w:rPr>
        <w:t>《蜀道投资集团有限责任公司 协作方资源库》中</w:t>
      </w:r>
      <w:r>
        <w:rPr>
          <w:rFonts w:hint="eastAsia" w:ascii="宋体" w:hAnsi="宋体"/>
          <w:color w:val="auto"/>
          <w:sz w:val="24"/>
          <w:highlight w:val="none"/>
          <w:lang w:val="en-US" w:eastAsia="zh-CN"/>
        </w:rPr>
        <w:t>处于“成功入驻”状态。（提供相应截图）</w:t>
      </w:r>
    </w:p>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fldChar w:fldCharType="begin"/>
    </w:r>
    <w:r>
      <w:instrText xml:space="preserve">PAGE   \* MERGEFORMAT</w:instrText>
    </w:r>
    <w:r>
      <w:fldChar w:fldCharType="separate"/>
    </w:r>
    <w:r>
      <w:rPr>
        <w:lang w:val="zh-CN"/>
      </w:rPr>
      <w:t>29</w:t>
    </w:r>
    <w:r>
      <w:fldChar w:fldCharType="end"/>
    </w:r>
  </w:p>
  <w:p>
    <w:pPr>
      <w:pStyle w:val="4"/>
      <w:jc w:val="center"/>
      <w:rPr>
        <w:rFonts w:hint="eastAsia"/>
      </w:rPr>
    </w:pPr>
  </w:p>
  <w:p>
    <w:pPr>
      <w:pStyle w:val="4"/>
      <w:jc w:val="center"/>
      <w:rPr>
        <w:rFonts w:hint="eastAsia"/>
      </w:rPr>
    </w:pPr>
  </w:p>
  <w:p>
    <w:pPr>
      <w:pStyle w:val="4"/>
      <w:jc w:val="center"/>
      <w:rPr>
        <w:rFonts w:hint="eastAsia"/>
      </w:rPr>
    </w:pPr>
  </w:p>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85D84"/>
    <w:rsid w:val="0E1636BC"/>
    <w:rsid w:val="3802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黄燕</cp:lastModifiedBy>
  <dcterms:modified xsi:type="dcterms:W3CDTF">2025-12-05T02:03:51Z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